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2" w:rsidRPr="00C82FED" w:rsidRDefault="00024732" w:rsidP="00AF69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ED">
        <w:rPr>
          <w:rFonts w:ascii="Times New Roman" w:hAnsi="Times New Roman" w:cs="Times New Roman"/>
          <w:b/>
          <w:bCs/>
          <w:sz w:val="28"/>
          <w:szCs w:val="28"/>
        </w:rPr>
        <w:t>BAB II</w:t>
      </w:r>
      <w:r w:rsidR="00171A7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024732" w:rsidRPr="00C82FED" w:rsidRDefault="00024732" w:rsidP="00AF69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ED">
        <w:rPr>
          <w:rFonts w:ascii="Times New Roman" w:hAnsi="Times New Roman" w:cs="Times New Roman"/>
          <w:b/>
          <w:bCs/>
          <w:sz w:val="28"/>
          <w:szCs w:val="28"/>
        </w:rPr>
        <w:t>GAMBARAN UMUM PT. BAKRIE PIPE INDUSTRIES</w:t>
      </w:r>
    </w:p>
    <w:p w:rsidR="00C82FED" w:rsidRPr="00C82FED" w:rsidRDefault="00C82FED" w:rsidP="00AF6954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4732" w:rsidRPr="00C82FED" w:rsidRDefault="00FA66A7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7C70" w:rsidRPr="00C82FED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036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732" w:rsidRPr="00C82FED">
        <w:rPr>
          <w:rFonts w:ascii="Times New Roman" w:hAnsi="Times New Roman" w:cs="Times New Roman"/>
          <w:b/>
          <w:bCs/>
          <w:sz w:val="24"/>
          <w:szCs w:val="24"/>
        </w:rPr>
        <w:t>Sejarah Singkat PT. Bakrie Pipe Industries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>Pada tahun 1959, PT. Bakrie &amp; Brothers mendirikan pabrik pipa baja yang</w:t>
      </w:r>
      <w:r w:rsidR="00C82FED">
        <w:rPr>
          <w:rFonts w:ascii="Times New Roman" w:hAnsi="Times New Roman" w:cs="Times New Roman"/>
          <w:sz w:val="24"/>
          <w:szCs w:val="24"/>
        </w:rPr>
        <w:t xml:space="preserve"> diberi nama </w:t>
      </w:r>
      <w:r w:rsidRPr="00C82FED">
        <w:rPr>
          <w:rFonts w:ascii="Times New Roman" w:hAnsi="Times New Roman" w:cs="Times New Roman"/>
          <w:sz w:val="24"/>
          <w:szCs w:val="24"/>
        </w:rPr>
        <w:t>“TALANG TIRTA” di Jakarta. Pada waktu itu Bakrie baru dapat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memproduksi pipa baja berdiameter 5/8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inchi </w:t>
      </w:r>
      <w:r w:rsidRPr="00C82FED">
        <w:rPr>
          <w:rFonts w:ascii="Times New Roman" w:hAnsi="Times New Roman" w:cs="Times New Roman"/>
          <w:sz w:val="24"/>
          <w:szCs w:val="24"/>
        </w:rPr>
        <w:t xml:space="preserve">sampai dengan 1 ¼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inchi </w:t>
      </w:r>
      <w:r w:rsidRPr="00C82FED">
        <w:rPr>
          <w:rFonts w:ascii="Times New Roman" w:hAnsi="Times New Roman" w:cs="Times New Roman"/>
          <w:sz w:val="24"/>
          <w:szCs w:val="24"/>
        </w:rPr>
        <w:t>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conduit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pipe</w:t>
      </w:r>
      <w:r w:rsidRPr="00C82FED">
        <w:rPr>
          <w:rFonts w:ascii="Times New Roman" w:hAnsi="Times New Roman" w:cs="Times New Roman"/>
          <w:sz w:val="24"/>
          <w:szCs w:val="24"/>
        </w:rPr>
        <w:t xml:space="preserve">), dengan desain kapasitas produksi sebanyak 3000 ton per tahun. 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Sejak saat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itu pipa baja Bakrie san</w:t>
      </w:r>
      <w:r w:rsidR="00C82FED">
        <w:rPr>
          <w:rFonts w:ascii="Times New Roman" w:hAnsi="Times New Roman" w:cs="Times New Roman"/>
          <w:sz w:val="24"/>
          <w:szCs w:val="24"/>
        </w:rPr>
        <w:t xml:space="preserve">gat dikenal luas di masyarakat.   </w:t>
      </w:r>
      <w:r w:rsidRPr="00C82FED">
        <w:rPr>
          <w:rFonts w:ascii="Times New Roman" w:hAnsi="Times New Roman" w:cs="Times New Roman"/>
          <w:sz w:val="24"/>
          <w:szCs w:val="24"/>
        </w:rPr>
        <w:t>Perkembangan berikutnya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pada tahun 1972 Bakrie berhasil meningkatkan produksinya hingga mencapai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25.000 ton per tahun dengan diameter hingga 2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inchi </w:t>
      </w:r>
      <w:r w:rsidRPr="00C82FED">
        <w:rPr>
          <w:rFonts w:ascii="Times New Roman" w:hAnsi="Times New Roman" w:cs="Times New Roman"/>
          <w:sz w:val="24"/>
          <w:szCs w:val="24"/>
        </w:rPr>
        <w:t>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conduit pipe, water pipe,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i/>
          <w:iCs/>
          <w:sz w:val="24"/>
          <w:szCs w:val="24"/>
        </w:rPr>
        <w:t>pipe for ordinary uses</w:t>
      </w:r>
      <w:r w:rsidRPr="00C82FED">
        <w:rPr>
          <w:rFonts w:ascii="Times New Roman" w:hAnsi="Times New Roman" w:cs="Times New Roman"/>
          <w:sz w:val="24"/>
          <w:szCs w:val="24"/>
        </w:rPr>
        <w:t>).</w:t>
      </w:r>
    </w:p>
    <w:p w:rsidR="00024732" w:rsidRPr="003A0826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 xml:space="preserve">Pada tahun 1978 ekspansi dilakukan dan Bakrie berhasil memproduksi pipasampai dengan diameter 6 5/8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inchi </w:t>
      </w:r>
      <w:r w:rsidRPr="00C82FED">
        <w:rPr>
          <w:rFonts w:ascii="Times New Roman" w:hAnsi="Times New Roman" w:cs="Times New Roman"/>
          <w:sz w:val="24"/>
          <w:szCs w:val="24"/>
        </w:rPr>
        <w:t>serta memproduksi pipa dengan spesifikasi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API 5L 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pipes for oil and gas industries</w:t>
      </w:r>
      <w:r w:rsidRPr="00C82FED">
        <w:rPr>
          <w:rFonts w:ascii="Times New Roman" w:hAnsi="Times New Roman" w:cs="Times New Roman"/>
          <w:sz w:val="24"/>
          <w:szCs w:val="24"/>
        </w:rPr>
        <w:t xml:space="preserve">). 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Tahun 1979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American Petroleum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Institute </w:t>
      </w:r>
      <w:r w:rsidRPr="00C82FED">
        <w:rPr>
          <w:rFonts w:ascii="Times New Roman" w:hAnsi="Times New Roman" w:cs="Times New Roman"/>
          <w:sz w:val="24"/>
          <w:szCs w:val="24"/>
        </w:rPr>
        <w:t>(API) memberikan pengakuan kepada Bakrie untuk menggunakan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monogram API pada setiap produk pipa API 5L yang diproduksi.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2FED">
        <w:rPr>
          <w:rFonts w:ascii="Times New Roman" w:hAnsi="Times New Roman" w:cs="Times New Roman"/>
          <w:sz w:val="24"/>
          <w:szCs w:val="24"/>
        </w:rPr>
        <w:t>Dua tahun setelah itu PT.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 Bakrie Pipe Industries didirikan dengan menempati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FED">
        <w:rPr>
          <w:rFonts w:ascii="Times New Roman" w:hAnsi="Times New Roman" w:cs="Times New Roman"/>
          <w:sz w:val="24"/>
          <w:szCs w:val="24"/>
        </w:rPr>
        <w:t xml:space="preserve">lahan seluas 38 </w:t>
      </w:r>
      <w:r w:rsidRPr="00C82FED">
        <w:rPr>
          <w:rFonts w:ascii="Times New Roman" w:hAnsi="Times New Roman" w:cs="Times New Roman"/>
          <w:sz w:val="24"/>
          <w:szCs w:val="24"/>
        </w:rPr>
        <w:t>Ha di wilayah Bekasi – Jawa Barat. Pada saat itu PT. Bakrie Pipe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Industries mampu memproduksi pipa baja sampai diameter 16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inchi </w:t>
      </w:r>
      <w:r w:rsidRPr="00C82FED">
        <w:rPr>
          <w:rFonts w:ascii="Times New Roman" w:hAnsi="Times New Roman" w:cs="Times New Roman"/>
          <w:sz w:val="24"/>
          <w:szCs w:val="24"/>
        </w:rPr>
        <w:t>dengan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kapasitas 70.000 ton per tahun. Pada tahun 1984, PT. Bakrie Pipe Industries untuk kedua kalinya mendapatkan pengakuan dari API untuk menggunakan monogram</w:t>
      </w:r>
      <w:r w:rsidR="00C8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API pada setiap produk pipa API 5L yang diproduksi.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>Derap pembangunan Indonesia melangkah pasti, dan pada tahun 1995 PT.</w:t>
      </w:r>
    </w:p>
    <w:p w:rsidR="00024732" w:rsidRPr="00C82FED" w:rsidRDefault="00024732" w:rsidP="003A08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Bakrie Pipe Industries kembali melakukan ekspansi pabriknya dengan memasang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mesin KT 24 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Kaisar Terrance 24 inch</w:t>
      </w:r>
      <w:r w:rsidRPr="00C82FED">
        <w:rPr>
          <w:rFonts w:ascii="Times New Roman" w:hAnsi="Times New Roman" w:cs="Times New Roman"/>
          <w:sz w:val="24"/>
          <w:szCs w:val="24"/>
        </w:rPr>
        <w:t>) dan VAI 4 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Voest Alpine 4 inch</w:t>
      </w:r>
      <w:r w:rsidRPr="00C82FED">
        <w:rPr>
          <w:rFonts w:ascii="Times New Roman" w:hAnsi="Times New Roman" w:cs="Times New Roman"/>
          <w:sz w:val="24"/>
          <w:szCs w:val="24"/>
        </w:rPr>
        <w:t>) yang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dapat memproduksi pipa baja hingga diameter 24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inchi</w:t>
      </w:r>
      <w:r w:rsidRPr="00C82FED">
        <w:rPr>
          <w:rFonts w:ascii="Times New Roman" w:hAnsi="Times New Roman" w:cs="Times New Roman"/>
          <w:sz w:val="24"/>
          <w:szCs w:val="24"/>
        </w:rPr>
        <w:t xml:space="preserve">. 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Kini PT. Bakrie Pipe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Industries memiliki total desain kapasitas produksi hingga 310.000 ton per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tahunnya. 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Pada tahun 2000, PT. Bakrie Pipe Industries juga telah mendapatkan</w:t>
      </w:r>
    </w:p>
    <w:p w:rsidR="00024732" w:rsidRPr="00C82FED" w:rsidRDefault="00E3089A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0" style="position:absolute;left:0;text-align:left;margin-left:374.4pt;margin-top:51.75pt;width:34.4pt;height:32.2pt;z-index:251734016;mso-position-horizontal-relative:text;mso-position-vertical-relative:text" strokecolor="white [3212]"/>
        </w:pict>
      </w:r>
      <w:r w:rsidR="00024732" w:rsidRPr="00C82FED">
        <w:rPr>
          <w:rFonts w:ascii="Times New Roman" w:hAnsi="Times New Roman" w:cs="Times New Roman"/>
          <w:sz w:val="24"/>
          <w:szCs w:val="24"/>
        </w:rPr>
        <w:t>kepercayaan dari API untuk menggunakan monogran API pada setiap produk pipa API 5CT (</w:t>
      </w:r>
      <w:r w:rsidR="00024732" w:rsidRPr="00C82FED">
        <w:rPr>
          <w:rFonts w:ascii="Times New Roman" w:hAnsi="Times New Roman" w:cs="Times New Roman"/>
          <w:i/>
          <w:iCs/>
          <w:sz w:val="24"/>
          <w:szCs w:val="24"/>
        </w:rPr>
        <w:t>casing tubing</w:t>
      </w:r>
      <w:r w:rsidR="00024732" w:rsidRPr="00C82FED">
        <w:rPr>
          <w:rFonts w:ascii="Times New Roman" w:hAnsi="Times New Roman" w:cs="Times New Roman"/>
          <w:sz w:val="24"/>
          <w:szCs w:val="24"/>
        </w:rPr>
        <w:t>) yang diproduksi.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lastRenderedPageBreak/>
        <w:tab/>
        <w:t>Demikian pula produk pipa PT. Bakrie Pipe Industries lainnya seperti BS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1387, ASTM A252, ASTM A53, JIS G 3444, maupun SNI telah setara dan diakui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sebagai pipa yang memiliki kualitas internasional</w:t>
      </w:r>
    </w:p>
    <w:p w:rsidR="00024732" w:rsidRPr="003A0826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>Pada bulan September 2005, PT. Bakrie Pipe Industries juga telah mendapat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pengakuan dari DNV 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Det Norske Veritas</w:t>
      </w:r>
      <w:r w:rsidRPr="00C82FED">
        <w:rPr>
          <w:rFonts w:ascii="Times New Roman" w:hAnsi="Times New Roman" w:cs="Times New Roman"/>
          <w:sz w:val="24"/>
          <w:szCs w:val="24"/>
        </w:rPr>
        <w:t>) dengan diproduksinya pipa sesuai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dengan persyaratan spesifikasi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DNV OFFSHORE OS – F101 SUBMARINE PIPELINE SYSTEM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>Komitmen untuk terus melaksanakan perlindungan terhadap kesehatan dan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keselamatan kerja serta aset – aset yang dimilikinya diperkuat dengan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diperolehnya sertifikat OHSAS 18001 : 1999 dari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ABS Quality Evaluation </w:t>
      </w:r>
      <w:r w:rsidRPr="00C82FED">
        <w:rPr>
          <w:rFonts w:ascii="Times New Roman" w:hAnsi="Times New Roman" w:cs="Times New Roman"/>
          <w:sz w:val="24"/>
          <w:szCs w:val="24"/>
        </w:rPr>
        <w:t>pada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bulan April 2007.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>Sejalan dengan terus meningkatnya pembangunan naional, PT. Bakrie Pipe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Industries telah berhasil menancapkan diri sebagai produsen pipa baja terbesar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dan terkemuka di Indonesia. Menggunakan teknologi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High Frequency – Electric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Resistance Welding</w:t>
      </w:r>
      <w:r w:rsidRPr="00C82FED">
        <w:rPr>
          <w:rFonts w:ascii="Times New Roman" w:hAnsi="Times New Roman" w:cs="Times New Roman"/>
          <w:sz w:val="24"/>
          <w:szCs w:val="24"/>
        </w:rPr>
        <w:t>, PT. Bakrie Pipe Industries memproduksi pipa baja untuk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berbagai keperluan, seperti: media penyalur minyak dan gas bumi,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casing &amp;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i/>
          <w:iCs/>
          <w:sz w:val="24"/>
          <w:szCs w:val="24"/>
        </w:rPr>
        <w:t>tubing</w:t>
      </w:r>
      <w:r w:rsidRPr="00C82FED">
        <w:rPr>
          <w:rFonts w:ascii="Times New Roman" w:hAnsi="Times New Roman" w:cs="Times New Roman"/>
          <w:sz w:val="24"/>
          <w:szCs w:val="24"/>
        </w:rPr>
        <w:t>, instalasi air, tiang pancang, tiang telepon, tiang listrik, konstruksi</w:t>
      </w:r>
      <w:r w:rsid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bangunan dan berbagai keperluan lainnya.</w:t>
      </w:r>
    </w:p>
    <w:p w:rsidR="00024732" w:rsidRPr="00C82FED" w:rsidRDefault="00024732" w:rsidP="00CF45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ab/>
        <w:t>Sebagai bentuk tanggung jawab sosial perusahaan kepada masyarakat, PT.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Bakrie Pipe Industries juga telah melaksanakan aktivitas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Corporate Social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Responsibility </w:t>
      </w:r>
      <w:r w:rsidRPr="00C82FED">
        <w:rPr>
          <w:rFonts w:ascii="Times New Roman" w:hAnsi="Times New Roman" w:cs="Times New Roman"/>
          <w:sz w:val="24"/>
          <w:szCs w:val="24"/>
        </w:rPr>
        <w:t xml:space="preserve">(CSR) dan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Community Development </w:t>
      </w:r>
      <w:r w:rsidRPr="00C82FED">
        <w:rPr>
          <w:rFonts w:ascii="Times New Roman" w:hAnsi="Times New Roman" w:cs="Times New Roman"/>
          <w:sz w:val="24"/>
          <w:szCs w:val="24"/>
        </w:rPr>
        <w:t>(Comdev) melalui berbagai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kegiatan yang rutin dan berkesinambungan, tidak hanya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charity </w:t>
      </w:r>
      <w:r w:rsidRPr="00C82FED">
        <w:rPr>
          <w:rFonts w:ascii="Times New Roman" w:hAnsi="Times New Roman" w:cs="Times New Roman"/>
          <w:sz w:val="24"/>
          <w:szCs w:val="24"/>
        </w:rPr>
        <w:t>tapi juga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pemberdayaan masyarakat. 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Dengan s</w:t>
      </w:r>
      <w:r w:rsidR="003A0826">
        <w:rPr>
          <w:rFonts w:ascii="Times New Roman" w:hAnsi="Times New Roman" w:cs="Times New Roman"/>
          <w:sz w:val="24"/>
          <w:szCs w:val="24"/>
        </w:rPr>
        <w:t xml:space="preserve">emua potensi dan kelebihan itu, </w:t>
      </w:r>
      <w:r w:rsidRPr="00C82FED">
        <w:rPr>
          <w:rFonts w:ascii="Times New Roman" w:hAnsi="Times New Roman" w:cs="Times New Roman"/>
          <w:sz w:val="24"/>
          <w:szCs w:val="24"/>
        </w:rPr>
        <w:t>kini PT.Bakrie Pipe Industries telah berhasil memposisikan diri sebagai pemimpin bagipasar pipa di dalam negeri dan telah mampu menembus pasar pipa baja dunia.</w:t>
      </w: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9F" w:rsidRDefault="0001319F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9F" w:rsidRDefault="0001319F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9F" w:rsidRDefault="0001319F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Pr="00C82FED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FA66A7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024732" w:rsidRPr="00C82F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4732" w:rsidRPr="00C82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32" w:rsidRPr="00C82FED">
        <w:rPr>
          <w:rFonts w:ascii="Times New Roman" w:hAnsi="Times New Roman" w:cs="Times New Roman"/>
          <w:b/>
          <w:bCs/>
          <w:sz w:val="24"/>
          <w:szCs w:val="24"/>
        </w:rPr>
        <w:t>Visi dan Misi PT. Bakrie Pipe Industries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32" w:rsidRPr="00C82FED" w:rsidRDefault="00024732" w:rsidP="00AF6954">
      <w:pPr>
        <w:pStyle w:val="NoSpacing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Visi</w:t>
      </w:r>
    </w:p>
    <w:p w:rsidR="00024732" w:rsidRPr="00C82FED" w:rsidRDefault="00024732" w:rsidP="00AF6954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Menjadi produsen pipa baja terkemuka di wilayah ASEAN.</w:t>
      </w:r>
    </w:p>
    <w:p w:rsidR="00024732" w:rsidRPr="00C82FED" w:rsidRDefault="00024732" w:rsidP="00AF6954">
      <w:pPr>
        <w:pStyle w:val="NoSpacing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Misi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Menyediakan produk yang dapat dipercaya, sesuai bahkan lebih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baik dari persyaratan yang ditetapkan pelanggan.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Harga yang kompetitif dan pengiriman tepat waktu.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Mengoperasikan</w:t>
      </w:r>
      <w:r w:rsidR="00F12231">
        <w:rPr>
          <w:rFonts w:ascii="Times New Roman" w:hAnsi="Times New Roman" w:cs="Times New Roman"/>
          <w:sz w:val="24"/>
          <w:szCs w:val="24"/>
        </w:rPr>
        <w:t xml:space="preserve"> aktivitas bisnis senantiasa did</w:t>
      </w:r>
      <w:r w:rsidRPr="00C82FED">
        <w:rPr>
          <w:rFonts w:ascii="Times New Roman" w:hAnsi="Times New Roman" w:cs="Times New Roman"/>
          <w:sz w:val="24"/>
          <w:szCs w:val="24"/>
        </w:rPr>
        <w:t>asari nilai-nilai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integritas, profesional dan profitabilitas.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Mengutamakan lingkungan kerja yang aman dan nyaman.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Memuaskan pelanggan, dan</w:t>
      </w:r>
    </w:p>
    <w:p w:rsidR="00024732" w:rsidRPr="00C82FED" w:rsidRDefault="00024732" w:rsidP="00AF695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Meningkatkan nilai investasi bagi pemegang saham.</w:t>
      </w:r>
    </w:p>
    <w:p w:rsidR="00024732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26" w:rsidRDefault="003A0826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26" w:rsidRDefault="003A0826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26" w:rsidRPr="00C82FED" w:rsidRDefault="003A0826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C604CA">
      <w:pPr>
        <w:pStyle w:val="NoSpacing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b/>
          <w:bCs/>
          <w:sz w:val="24"/>
          <w:szCs w:val="24"/>
        </w:rPr>
        <w:t>Struktur Organisasi PT. Bakrie Pipe Industries</w:t>
      </w:r>
    </w:p>
    <w:p w:rsidR="00024732" w:rsidRDefault="00C7306C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06C">
        <w:rPr>
          <w:rFonts w:ascii="Times New Roman" w:hAnsi="Times New Roman" w:cs="Times New Roman"/>
          <w:noProof/>
          <w:sz w:val="24"/>
          <w:szCs w:val="24"/>
        </w:rPr>
        <w:pict>
          <v:group id="_x0000_s1122" style="position:absolute;left:0;text-align:left;margin-left:-87.2pt;margin-top:2.4pt;width:537.35pt;height:446.95pt;z-index:251732992" coordorigin="429,3894" coordsize="10747,89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49;top:3894;width:2076;height:839">
              <v:textbox style="mso-next-textbox:#_x0000_s1026">
                <w:txbxContent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CHIEF EXECUTIVE</w:t>
                    </w:r>
                  </w:p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OFFICER</w:t>
                    </w:r>
                  </w:p>
                </w:txbxContent>
              </v:textbox>
            </v:shape>
            <v:shape id="_x0000_s1027" type="#_x0000_t202" style="position:absolute;left:8208;top:5135;width:2076;height:852">
              <v:textbox style="mso-next-textbox:#_x0000_s1027">
                <w:txbxContent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MANAGEMENT</w:t>
                    </w:r>
                  </w:p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REPRESESNTATIVE</w:t>
                    </w:r>
                  </w:p>
                </w:txbxContent>
              </v:textbox>
            </v:shape>
            <v:shape id="_x0000_s1028" type="#_x0000_t202" style="position:absolute;left:9210;top:6444;width:1875;height:1057">
              <v:textbox style="mso-next-textbox:#_x0000_s1028">
                <w:txbxContent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CHIEF </w:t>
                    </w:r>
                    <w:r w:rsidR="00637FD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HRA &amp;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CONTINOUS IMPROVEMENT PROGRAM</w:t>
                    </w:r>
                  </w:p>
                </w:txbxContent>
              </v:textbox>
            </v:shape>
            <v:shape id="_x0000_s1029" type="#_x0000_t202" style="position:absolute;left:7239;top:6444;width:1875;height:1057">
              <v:textbox style="mso-next-textbox:#_x0000_s1029">
                <w:txbxContent>
                  <w:p w:rsidR="00C22AB2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</w:p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CHIEF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LOGIGISTIC</w:t>
                    </w:r>
                  </w:p>
                </w:txbxContent>
              </v:textbox>
            </v:shape>
            <v:shape id="_x0000_s1030" type="#_x0000_t202" style="position:absolute;left:5241;top:6444;width:1875;height:1057">
              <v:textbox style="mso-next-textbox:#_x0000_s1030">
                <w:txbxContent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CHIEF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OPERATING OFFICER</w:t>
                    </w:r>
                  </w:p>
                </w:txbxContent>
              </v:textbox>
            </v:shape>
            <v:shape id="_x0000_s1031" type="#_x0000_t202" style="position:absolute;left:429;top:6444;width:1875;height:1057">
              <v:textbox style="mso-next-textbox:#_x0000_s1031">
                <w:txbxContent>
                  <w:p w:rsidR="00C22AB2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</w:p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CHIEF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FINANCIAL OFFICER</w:t>
                    </w:r>
                  </w:p>
                </w:txbxContent>
              </v:textbox>
            </v:shape>
            <v:shape id="_x0000_s1032" type="#_x0000_t202" style="position:absolute;left:2403;top:6444;width:1875;height:1057">
              <v:textbox style="mso-next-textbox:#_x0000_s1032">
                <w:txbxContent>
                  <w:p w:rsidR="00C22AB2" w:rsidRPr="002518B5" w:rsidRDefault="00C22AB2" w:rsidP="002518B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2518B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CHIEF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MARKETING OFFICER</w:t>
                    </w:r>
                  </w:p>
                </w:txbxContent>
              </v:textbox>
            </v:shape>
            <v:shape id="_x0000_s1033" type="#_x0000_t202" style="position:absolute;left:9645;top:7796;width:1531;height:819">
              <v:textbox style="mso-next-textbox:#_x0000_s1033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6D3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GA &amp; IND. RELATION MANAGER</w:t>
                    </w:r>
                  </w:p>
                </w:txbxContent>
              </v:textbox>
            </v:shape>
            <v:shape id="_x0000_s1034" type="#_x0000_t202" style="position:absolute;left:7894;top:7796;width:1531;height:819">
              <v:textbox style="mso-next-textbox:#_x0000_s1034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6D3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HRC PROCUREMENT MANAGER</w:t>
                    </w:r>
                  </w:p>
                </w:txbxContent>
              </v:textbox>
            </v:shape>
            <v:shape id="_x0000_s1036" type="#_x0000_t202" style="position:absolute;left:9645;top:8898;width:1531;height:819">
              <v:textbox style="mso-next-textbox:#_x0000_s1036" inset="1mm,1mm,1mm,1mm">
                <w:txbxContent>
                  <w:p w:rsidR="00C22AB2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REMUNERATION OFFICER</w:t>
                    </w:r>
                  </w:p>
                </w:txbxContent>
              </v:textbox>
            </v:shape>
            <v:shape id="_x0000_s1037" type="#_x0000_t202" style="position:absolute;left:7894;top:8898;width:1531;height:819">
              <v:textbox style="mso-next-textbox:#_x0000_s1037">
                <w:txbxContent>
                  <w:p w:rsidR="00C22AB2" w:rsidRPr="009C6D34" w:rsidRDefault="00C22AB2" w:rsidP="009C6D34">
                    <w:pPr>
                      <w:pStyle w:val="NoSpacing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PURCHASING MANAGER</w:t>
                    </w:r>
                  </w:p>
                </w:txbxContent>
              </v:textbox>
            </v:shape>
            <v:shape id="_x0000_s1038" type="#_x0000_t202" style="position:absolute;left:6134;top:7835;width:1531;height:819">
              <v:textbox style="mso-next-textbox:#_x0000_s1038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GENERAL MANAGER SEAPI PLAMT</w:t>
                    </w:r>
                  </w:p>
                </w:txbxContent>
              </v:textbox>
            </v:shape>
            <v:shape id="_x0000_s1039" type="#_x0000_t202" style="position:absolute;left:4388;top:7822;width:1531;height:819">
              <v:textbox style="mso-next-textbox:#_x0000_s1039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GENERAL MANAGER BEKASI PLANT</w:t>
                    </w:r>
                  </w:p>
                </w:txbxContent>
              </v:textbox>
            </v:shape>
            <v:shape id="_x0000_s1040" type="#_x0000_t202" style="position:absolute;left:2736;top:7822;width:1531;height:819">
              <v:textbox style="mso-next-textbox:#_x0000_s1040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SALES MANAGER OIL &amp; GAS</w:t>
                    </w:r>
                  </w:p>
                </w:txbxContent>
              </v:textbox>
            </v:shape>
            <v:shape id="_x0000_s1041" type="#_x0000_t202" style="position:absolute;left:773;top:7796;width:1531;height:819">
              <v:textbox style="mso-next-textbox:#_x0000_s1041">
                <w:txbxContent>
                  <w:p w:rsidR="00C22AB2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FINANCE MANAGER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6188;top:4720;width:0;height:1711" o:connectortype="straight"/>
            <v:shape id="_x0000_s1044" type="#_x0000_t32" style="position:absolute;left:6188;top:5572;width:2020;height:0;flip:x" o:connectortype="straight"/>
            <v:shape id="_x0000_s1045" type="#_x0000_t32" style="position:absolute;left:1415;top:6173;width:8778;height:1" o:connectortype="straight"/>
            <v:shape id="_x0000_s1046" type="#_x0000_t32" style="position:absolute;left:1415;top:6174;width:0;height:257;flip:y" o:connectortype="straight"/>
            <v:shape id="_x0000_s1047" type="#_x0000_t32" style="position:absolute;left:3379;top:6174;width:0;height:257;flip:y" o:connectortype="straight"/>
            <v:shape id="_x0000_s1048" type="#_x0000_t32" style="position:absolute;left:8208;top:6174;width:0;height:257;flip:y" o:connectortype="straight"/>
            <v:shape id="_x0000_s1049" type="#_x0000_t32" style="position:absolute;left:10193;top:6174;width:0;height:257;flip:y" o:connectortype="straight"/>
            <v:shape id="_x0000_s1053" type="#_x0000_t32" style="position:absolute;left:7756;top:7501;width:0;height:2819" o:connectortype="straight"/>
            <v:shape id="_x0000_s1054" type="#_x0000_t32" style="position:absolute;left:7756;top:8212;width:141;height:0" o:connectortype="straight"/>
            <v:shape id="_x0000_s1055" type="#_x0000_t32" style="position:absolute;left:7756;top:9340;width:141;height:0" o:connectortype="straight"/>
            <v:group id="_x0000_s1102" style="position:absolute;left:5012;top:8846;width:1984;height:3987" coordorigin="4388,8898" coordsize="1800,3987">
              <v:shape id="_x0000_s1069" type="#_x0000_t202" style="position:absolute;left:4388;top:8898;width:1800;height:819">
                <v:textbox style="mso-next-textbox:#_x0000_s1069">
                  <w:txbxContent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PRODUCTION</w:t>
                      </w:r>
                    </w:p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MANAGER</w:t>
                      </w:r>
                    </w:p>
                    <w:p w:rsidR="00C22AB2" w:rsidRPr="009C6D34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70" type="#_x0000_t202" style="position:absolute;left:4388;top:9962;width:1800;height:819">
                <v:textbox style="mso-next-textbox:#_x0000_s1070">
                  <w:txbxContent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QUALITY &amp; SHE MANAGER</w:t>
                      </w:r>
                    </w:p>
                    <w:p w:rsidR="00C22AB2" w:rsidRPr="009C6D34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71" type="#_x0000_t202" style="position:absolute;left:4388;top:11027;width:1800;height:819">
                <v:textbox style="mso-next-textbox:#_x0000_s1071">
                  <w:txbxContent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MAINTENANCE</w:t>
                      </w:r>
                    </w:p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MANAGER</w:t>
                      </w:r>
                    </w:p>
                    <w:p w:rsidR="00C22AB2" w:rsidRPr="009C6D34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72" type="#_x0000_t202" style="position:absolute;left:4388;top:12066;width:1800;height:819">
                <v:textbox style="mso-next-textbox:#_x0000_s1072">
                  <w:txbxContent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METHOD &amp; TECHNOLOGY</w:t>
                      </w:r>
                    </w:p>
                    <w:p w:rsidR="00C22AB2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MANAGER</w:t>
                      </w:r>
                    </w:p>
                    <w:p w:rsidR="00C22AB2" w:rsidRPr="009C6D34" w:rsidRDefault="00C22AB2" w:rsidP="009C6D3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  <v:shape id="_x0000_s1073" type="#_x0000_t202" style="position:absolute;left:2736;top:8898;width:1531;height:819">
              <v:textbox style="mso-next-textbox:#_x0000_s1073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SALES MANAGER NON OIL &amp; GAS</w:t>
                    </w:r>
                  </w:p>
                </w:txbxContent>
              </v:textbox>
            </v:shape>
            <v:shape id="_x0000_s1074" type="#_x0000_t202" style="position:absolute;left:2736;top:9962;width:1531;height:819">
              <v:textbox style="mso-next-textbox:#_x0000_s1074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SALES MANAGER EXPORT</w:t>
                    </w:r>
                  </w:p>
                </w:txbxContent>
              </v:textbox>
            </v:shape>
            <v:shape id="_x0000_s1075" type="#_x0000_t202" style="position:absolute;left:773;top:8905;width:1531;height:819">
              <v:textbox style="mso-next-textbox:#_x0000_s1075">
                <w:txbxContent>
                  <w:p w:rsidR="00C22AB2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ACCOUNTING</w:t>
                    </w:r>
                  </w:p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&amp; TAX MANAGER </w:t>
                    </w:r>
                  </w:p>
                </w:txbxContent>
              </v:textbox>
            </v:shape>
            <v:shape id="_x0000_s1076" type="#_x0000_t202" style="position:absolute;left:773;top:9962;width:1531;height:819">
              <v:textbox style="mso-next-textbox:#_x0000_s1076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IT MANAGER </w:t>
                    </w:r>
                  </w:p>
                </w:txbxContent>
              </v:textbox>
            </v:shape>
            <v:shape id="_x0000_s1077" type="#_x0000_t202" style="position:absolute;left:760;top:11027;width:1531;height:819">
              <v:textbox style="mso-next-textbox:#_x0000_s1077">
                <w:txbxContent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INTERNAL AUDIT &amp; RISK MANAGEMENT </w:t>
                    </w:r>
                  </w:p>
                </w:txbxContent>
              </v:textbox>
            </v:shape>
            <v:shape id="_x0000_s1079" type="#_x0000_t202" style="position:absolute;left:9645;top:9962;width:1531;height:819">
              <v:textbox style="mso-next-textbox:#_x0000_s1079" inset="1mm,1mm,1mm,1mm">
                <w:txbxContent>
                  <w:p w:rsidR="00C22AB2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CONTINOUS</w:t>
                    </w:r>
                  </w:p>
                  <w:p w:rsidR="00C22AB2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IMPROVEMENT</w:t>
                    </w:r>
                  </w:p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PROGRAM</w:t>
                    </w:r>
                  </w:p>
                </w:txbxContent>
              </v:textbox>
            </v:shape>
            <v:shape id="_x0000_s1080" type="#_x0000_t202" style="position:absolute;left:7897;top:9875;width:1531;height:819">
              <v:textbox style="mso-next-textbox:#_x0000_s1080" inset="1mm,1mm,1mm,1mm">
                <w:txbxContent>
                  <w:p w:rsidR="00C22AB2" w:rsidRDefault="00C22AB2" w:rsidP="00C22AB2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PPIC &amp; TRANSPOTATION</w:t>
                    </w:r>
                  </w:p>
                  <w:p w:rsidR="00C22AB2" w:rsidRPr="009C6D34" w:rsidRDefault="00C22AB2" w:rsidP="009C6D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MANAGER</w:t>
                    </w:r>
                  </w:p>
                </w:txbxContent>
              </v:textbox>
            </v:shape>
            <v:shape id="_x0000_s1081" type="#_x0000_t32" style="position:absolute;left:7756;top:10320;width:141;height:0" o:connectortype="straight"/>
            <v:shape id="_x0000_s1082" type="#_x0000_t32" style="position:absolute;left:9504;top:10343;width:141;height:0" o:connectortype="straight" o:regroupid="2"/>
            <v:shape id="_x0000_s1050" type="#_x0000_t32" style="position:absolute;left:9504;top:7501;width:0;height:2842" o:connectortype="straight" o:regroupid="3"/>
            <v:shape id="_x0000_s1051" type="#_x0000_t32" style="position:absolute;left:9504;top:8212;width:141;height:0" o:connectortype="straight" o:regroupid="3"/>
            <v:shape id="_x0000_s1052" type="#_x0000_t32" style="position:absolute;left:9504;top:9340;width:141;height:0" o:connectortype="straight" o:regroupid="3"/>
            <v:shape id="_x0000_s1101" type="#_x0000_t32" style="position:absolute;left:2595;top:10343;width:141;height:0" o:connectortype="straight" o:regroupid="4"/>
            <v:shape id="_x0000_s1098" type="#_x0000_t32" style="position:absolute;left:2595;top:7501;width:0;height:2842" o:connectortype="straight" o:regroupid="5"/>
            <v:shape id="_x0000_s1099" type="#_x0000_t32" style="position:absolute;left:2595;top:8212;width:141;height:0" o:connectortype="straight" o:regroupid="5"/>
            <v:shape id="_x0000_s1100" type="#_x0000_t32" style="position:absolute;left:2595;top:9340;width:141;height:0" o:connectortype="straight" o:regroupid="5"/>
            <v:shape id="_x0000_s1115" type="#_x0000_t32" style="position:absolute;left:4871;top:11408;width:141;height:0" o:connectortype="straight" o:regroupid="7"/>
            <v:shape id="_x0000_s1112" type="#_x0000_t32" style="position:absolute;left:4871;top:8657;width:0;height:3740" o:connectortype="straight" o:regroupid="8"/>
            <v:shape id="_x0000_s1113" type="#_x0000_t32" style="position:absolute;left:4871;top:9277;width:141;height:0" o:connectortype="straight" o:regroupid="8"/>
            <v:shape id="_x0000_s1114" type="#_x0000_t32" style="position:absolute;left:4871;top:10405;width:141;height:0" o:connectortype="straight" o:regroupid="8"/>
            <v:shape id="_x0000_s1117" type="#_x0000_t32" style="position:absolute;left:4871;top:12397;width:141;height:0" o:connectortype="straight"/>
            <v:shape id="_x0000_s1095" type="#_x0000_t32" style="position:absolute;left:619;top:10343;width:141;height:0" o:connectortype="straight" o:regroupid="9"/>
            <v:shape id="_x0000_s1092" type="#_x0000_t32" style="position:absolute;left:619;top:7501;width:0;height:3907" o:connectortype="straight" o:regroupid="10"/>
            <v:shape id="_x0000_s1093" type="#_x0000_t32" style="position:absolute;left:619;top:8212;width:141;height:0" o:connectortype="straight" o:regroupid="10"/>
            <v:shape id="_x0000_s1094" type="#_x0000_t32" style="position:absolute;left:619;top:9340;width:141;height:0" o:connectortype="straight" o:regroupid="10"/>
            <v:shape id="_x0000_s1118" type="#_x0000_t32" style="position:absolute;left:619;top:11408;width:141;height:0" o:connectortype="straight"/>
          </v:group>
        </w:pict>
      </w: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54" w:rsidRDefault="00AF6954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B5" w:rsidRPr="00C82FED" w:rsidRDefault="002518B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98" w:rsidRDefault="00024732" w:rsidP="003A082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Struktur organisasi adalah suatu kerangka atau susunan dasar tata laksana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suatu badan organisasi dari suatu perusahaan. Struktur organisasi yang baik harus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bersifat fleksibel sehingga memungkinkan untuk diadakan perubahan atau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perbaikan untuk menunjang keberhasilan perusahaan.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25" w:rsidRDefault="00024732" w:rsidP="00B6092E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Selain bersifat fleksibel, struktur organisasi juga harus dapat menggambarkan</w:t>
      </w:r>
      <w:r w:rsidR="00B6092E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dengan jelas wewenang dan tanggung jawab yang ada dalam </w:t>
      </w:r>
      <w:r w:rsidRPr="00C82FED">
        <w:rPr>
          <w:rFonts w:ascii="Times New Roman" w:hAnsi="Times New Roman" w:cs="Times New Roman"/>
          <w:sz w:val="24"/>
          <w:szCs w:val="24"/>
        </w:rPr>
        <w:lastRenderedPageBreak/>
        <w:t>perusahaan, agar</w:t>
      </w:r>
      <w:r w:rsidR="00B6092E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tidak terjadi kerancuan diantara fungsi-fungsi dari tiap-tiap bagian. 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Sehingga tiaptiap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bagian tersebut dapat mengoptimalkan kemampuannya masing-masing demi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tercapainya kemajuan perusahaan. Untuk memperjelas dan meempertegas struktur</w:t>
      </w:r>
      <w:r w:rsidR="00991198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organisasi yang terdapat pada PT. Bakrie Pipe Industries, akan disajikan lampirannya kemudian.</w:t>
      </w:r>
    </w:p>
    <w:p w:rsidR="009B05D9" w:rsidRPr="00C82FED" w:rsidRDefault="009B05D9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40" w:rsidRPr="009B05D9" w:rsidRDefault="00E57873" w:rsidP="009B05D9">
      <w:pPr>
        <w:pStyle w:val="NoSpacing"/>
        <w:numPr>
          <w:ilvl w:val="2"/>
          <w:numId w:val="1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b/>
          <w:bCs/>
          <w:sz w:val="24"/>
          <w:szCs w:val="24"/>
        </w:rPr>
        <w:t xml:space="preserve"> Produk PT. Bakrie Pipe Industries</w:t>
      </w:r>
    </w:p>
    <w:p w:rsidR="00E57873" w:rsidRPr="00C82FED" w:rsidRDefault="00E57873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 Produk-produk PT. Bakrie Pipe Industries adalah sebagai berikut:</w:t>
      </w:r>
    </w:p>
    <w:p w:rsidR="00C37C70" w:rsidRPr="00C82FED" w:rsidRDefault="00E57873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Tabel II.1 Produk-produk PT. Bakrie Pipe Industries</w:t>
      </w:r>
    </w:p>
    <w:tbl>
      <w:tblPr>
        <w:tblStyle w:val="TableGrid"/>
        <w:tblW w:w="0" w:type="auto"/>
        <w:tblLook w:val="04A0"/>
      </w:tblPr>
      <w:tblGrid>
        <w:gridCol w:w="2763"/>
        <w:gridCol w:w="2448"/>
        <w:gridCol w:w="2943"/>
      </w:tblGrid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Specification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294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Tittle</w:t>
            </w: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API 5L (PSL -1, PSL -2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441B5" w:rsidRPr="00C82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X46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X52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X60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X65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X70</w:t>
            </w:r>
          </w:p>
        </w:tc>
        <w:tc>
          <w:tcPr>
            <w:tcW w:w="294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API 5 CT/SO 11960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H 40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J55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K55</w:t>
            </w:r>
          </w:p>
        </w:tc>
        <w:tc>
          <w:tcPr>
            <w:tcW w:w="2943" w:type="dxa"/>
          </w:tcPr>
          <w:p w:rsidR="00663290" w:rsidRPr="00C82FED" w:rsidRDefault="00663290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Sepecification for casing and tubing</w:t>
            </w: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ASTM A 53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3290" w:rsidRPr="00C82FED" w:rsidRDefault="00663290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 xml:space="preserve">Sepecification for steel pipe ordinary uses  </w:t>
            </w: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DNV OS-F 101, 2000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943" w:type="dxa"/>
          </w:tcPr>
          <w:p w:rsidR="00663290" w:rsidRPr="00C82FED" w:rsidRDefault="00663290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Sepecification</w:t>
            </w:r>
            <w:r w:rsidR="00991198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submarine pipeline system</w:t>
            </w: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ASTM A 252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</w:tcPr>
          <w:p w:rsidR="00663290" w:rsidRPr="00C82FED" w:rsidRDefault="00663290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Sepecification for steel pipe piles</w:t>
            </w: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ASTM A 500</w:t>
            </w:r>
          </w:p>
        </w:tc>
        <w:tc>
          <w:tcPr>
            <w:tcW w:w="2448" w:type="dxa"/>
          </w:tcPr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63290" w:rsidRPr="00C82FED" w:rsidRDefault="00663290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43" w:type="dxa"/>
          </w:tcPr>
          <w:p w:rsidR="00663290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Sepecification for cold fromed carbon steel structural tubing steel structual tubing in rounds and shapes</w:t>
            </w:r>
          </w:p>
        </w:tc>
      </w:tr>
      <w:tr w:rsidR="00663290" w:rsidRPr="00C82FED" w:rsidTr="00991198">
        <w:tc>
          <w:tcPr>
            <w:tcW w:w="2763" w:type="dxa"/>
          </w:tcPr>
          <w:p w:rsidR="00663290" w:rsidRPr="00C82FED" w:rsidRDefault="003B0A6C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JIS G 3444</w:t>
            </w:r>
          </w:p>
        </w:tc>
        <w:tc>
          <w:tcPr>
            <w:tcW w:w="2448" w:type="dxa"/>
          </w:tcPr>
          <w:p w:rsidR="00663290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 290</w:t>
            </w:r>
          </w:p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 400</w:t>
            </w:r>
          </w:p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 500</w:t>
            </w:r>
          </w:p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 490</w:t>
            </w:r>
          </w:p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 540</w:t>
            </w:r>
          </w:p>
        </w:tc>
        <w:tc>
          <w:tcPr>
            <w:tcW w:w="2943" w:type="dxa"/>
          </w:tcPr>
          <w:p w:rsidR="00663290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Carbon steel tubes for general purpose</w:t>
            </w:r>
          </w:p>
        </w:tc>
      </w:tr>
      <w:tr w:rsidR="003B0A6C" w:rsidRPr="00C82FED" w:rsidTr="00991198">
        <w:tc>
          <w:tcPr>
            <w:tcW w:w="2763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JIS G 3466</w:t>
            </w:r>
          </w:p>
        </w:tc>
        <w:tc>
          <w:tcPr>
            <w:tcW w:w="2448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STKR 400</w:t>
            </w:r>
          </w:p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STKR 490</w:t>
            </w:r>
          </w:p>
        </w:tc>
        <w:tc>
          <w:tcPr>
            <w:tcW w:w="2943" w:type="dxa"/>
          </w:tcPr>
          <w:p w:rsidR="003B0A6C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Carbon steel aquare pipe for general structural purpose</w:t>
            </w:r>
          </w:p>
        </w:tc>
      </w:tr>
      <w:tr w:rsidR="003B0A6C" w:rsidRPr="00C82FED" w:rsidTr="00991198">
        <w:tc>
          <w:tcPr>
            <w:tcW w:w="2763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DIN 59411/2395 PART 3</w:t>
            </w:r>
          </w:p>
        </w:tc>
        <w:tc>
          <w:tcPr>
            <w:tcW w:w="2448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B0A6C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Rectangular and square electric welded precicion tubes</w:t>
            </w:r>
          </w:p>
        </w:tc>
      </w:tr>
      <w:tr w:rsidR="003B0A6C" w:rsidRPr="00C82FED" w:rsidTr="00991198">
        <w:tc>
          <w:tcPr>
            <w:tcW w:w="2763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AS 1163 – 1991</w:t>
            </w:r>
          </w:p>
        </w:tc>
        <w:tc>
          <w:tcPr>
            <w:tcW w:w="2448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B0A6C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Structural steel for hollow section</w:t>
            </w:r>
          </w:p>
        </w:tc>
      </w:tr>
      <w:tr w:rsidR="003B0A6C" w:rsidRPr="00C82FED" w:rsidTr="00991198">
        <w:tc>
          <w:tcPr>
            <w:tcW w:w="2763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 xml:space="preserve">AS 1450 </w:t>
            </w:r>
            <w:r w:rsidR="00C604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</w:p>
        </w:tc>
        <w:tc>
          <w:tcPr>
            <w:tcW w:w="2448" w:type="dxa"/>
          </w:tcPr>
          <w:p w:rsidR="003B0A6C" w:rsidRPr="00C82FED" w:rsidRDefault="003B0A6C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B0A6C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Steel tube for mechanical purposes</w:t>
            </w:r>
          </w:p>
        </w:tc>
      </w:tr>
      <w:tr w:rsidR="003B0A6C" w:rsidRPr="00C82FED" w:rsidTr="00991198">
        <w:tc>
          <w:tcPr>
            <w:tcW w:w="2763" w:type="dxa"/>
          </w:tcPr>
          <w:p w:rsidR="003B0A6C" w:rsidRPr="00C82FED" w:rsidRDefault="009441B5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BS 1387 – 85</w:t>
            </w:r>
          </w:p>
        </w:tc>
        <w:tc>
          <w:tcPr>
            <w:tcW w:w="2448" w:type="dxa"/>
          </w:tcPr>
          <w:p w:rsidR="003B0A6C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  <w:p w:rsidR="009441B5" w:rsidRPr="00C82FED" w:rsidRDefault="00171A7B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441B5" w:rsidRPr="00C82FED">
              <w:rPr>
                <w:rFonts w:ascii="Times New Roman" w:hAnsi="Times New Roman" w:cs="Times New Roman"/>
                <w:sz w:val="24"/>
                <w:szCs w:val="24"/>
              </w:rPr>
              <w:t>eavy</w:t>
            </w:r>
          </w:p>
        </w:tc>
        <w:tc>
          <w:tcPr>
            <w:tcW w:w="2943" w:type="dxa"/>
          </w:tcPr>
          <w:p w:rsidR="003B0A6C" w:rsidRPr="00C82FED" w:rsidRDefault="009441B5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Steel tube for ordianary uses</w:t>
            </w:r>
          </w:p>
        </w:tc>
      </w:tr>
      <w:tr w:rsidR="003B0A6C" w:rsidRPr="00C82FED" w:rsidTr="00991198">
        <w:tc>
          <w:tcPr>
            <w:tcW w:w="2763" w:type="dxa"/>
          </w:tcPr>
          <w:p w:rsidR="003B0A6C" w:rsidRPr="00C82FED" w:rsidRDefault="009441B5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SNI 0039 – 87</w:t>
            </w:r>
          </w:p>
        </w:tc>
        <w:tc>
          <w:tcPr>
            <w:tcW w:w="2448" w:type="dxa"/>
          </w:tcPr>
          <w:p w:rsidR="003B0A6C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943" w:type="dxa"/>
          </w:tcPr>
          <w:p w:rsidR="003B0A6C" w:rsidRPr="00C82FED" w:rsidRDefault="003B0A6C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Steel tube for</w:t>
            </w:r>
            <w:r w:rsidR="009441B5" w:rsidRPr="00C82FED">
              <w:rPr>
                <w:rFonts w:ascii="Times New Roman" w:hAnsi="Times New Roman" w:cs="Times New Roman"/>
                <w:sz w:val="24"/>
                <w:szCs w:val="24"/>
              </w:rPr>
              <w:t xml:space="preserve"> ordianary uses</w:t>
            </w:r>
          </w:p>
        </w:tc>
      </w:tr>
      <w:tr w:rsidR="009441B5" w:rsidRPr="00C82FED" w:rsidTr="00991198">
        <w:tc>
          <w:tcPr>
            <w:tcW w:w="2763" w:type="dxa"/>
          </w:tcPr>
          <w:p w:rsidR="009441B5" w:rsidRPr="00C82FED" w:rsidRDefault="009441B5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SNI 0068 – 87</w:t>
            </w:r>
          </w:p>
        </w:tc>
        <w:tc>
          <w:tcPr>
            <w:tcW w:w="2448" w:type="dxa"/>
          </w:tcPr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1 (PKB – 30)</w:t>
            </w:r>
          </w:p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2 (PKB – 41)</w:t>
            </w:r>
          </w:p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3 (PKB – 51)</w:t>
            </w:r>
          </w:p>
        </w:tc>
        <w:tc>
          <w:tcPr>
            <w:tcW w:w="2943" w:type="dxa"/>
          </w:tcPr>
          <w:p w:rsidR="009441B5" w:rsidRPr="00C82FED" w:rsidRDefault="009441B5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Steel tube for general construction</w:t>
            </w:r>
          </w:p>
        </w:tc>
      </w:tr>
      <w:tr w:rsidR="009441B5" w:rsidRPr="00C82FED" w:rsidTr="00991198">
        <w:tc>
          <w:tcPr>
            <w:tcW w:w="2763" w:type="dxa"/>
          </w:tcPr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TT/BOS/SIO/</w:t>
            </w:r>
          </w:p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i/>
                <w:sz w:val="24"/>
                <w:szCs w:val="24"/>
              </w:rPr>
              <w:t>(Internal Specification)</w:t>
            </w:r>
          </w:p>
        </w:tc>
        <w:tc>
          <w:tcPr>
            <w:tcW w:w="2448" w:type="dxa"/>
          </w:tcPr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441B5" w:rsidRPr="00C82FED" w:rsidRDefault="009441B5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Steel pipe for ordianary uses</w:t>
            </w:r>
          </w:p>
        </w:tc>
      </w:tr>
      <w:tr w:rsidR="009441B5" w:rsidRPr="00C82FED" w:rsidTr="00991198">
        <w:tc>
          <w:tcPr>
            <w:tcW w:w="2763" w:type="dxa"/>
          </w:tcPr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Brata / Sena</w:t>
            </w:r>
          </w:p>
          <w:p w:rsidR="009441B5" w:rsidRPr="00C82FED" w:rsidRDefault="009441B5" w:rsidP="00AF69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i/>
                <w:sz w:val="24"/>
                <w:szCs w:val="24"/>
              </w:rPr>
              <w:t>(Internal Specification)</w:t>
            </w:r>
          </w:p>
        </w:tc>
        <w:tc>
          <w:tcPr>
            <w:tcW w:w="2448" w:type="dxa"/>
          </w:tcPr>
          <w:p w:rsidR="009441B5" w:rsidRPr="00C82FED" w:rsidRDefault="009441B5" w:rsidP="00AF695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441B5" w:rsidRPr="00C82FED" w:rsidRDefault="00C82FED" w:rsidP="00AF69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Carbon steel square pipe for general structural purposes</w:t>
            </w:r>
          </w:p>
        </w:tc>
      </w:tr>
    </w:tbl>
    <w:p w:rsidR="00423625" w:rsidRPr="00C82FED" w:rsidRDefault="006C4F40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lastRenderedPageBreak/>
        <w:t>Setiap pipa yang diproduksi PT. Bakrie Pipe Industries telah menjalani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pengujian dan pengawasan yang sangat ketat mulai dari pemesanan bahan baku,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="0001319F">
        <w:rPr>
          <w:rFonts w:ascii="Times New Roman" w:hAnsi="Times New Roman" w:cs="Times New Roman"/>
          <w:sz w:val="24"/>
          <w:szCs w:val="24"/>
        </w:rPr>
        <w:t xml:space="preserve">proses </w:t>
      </w:r>
      <w:r w:rsidRPr="00C82FED">
        <w:rPr>
          <w:rFonts w:ascii="Times New Roman" w:hAnsi="Times New Roman" w:cs="Times New Roman"/>
          <w:sz w:val="24"/>
          <w:szCs w:val="24"/>
        </w:rPr>
        <w:t>produksi serta pengiriman pipa guna memenuhi kepuasan pelanggan.</w:t>
      </w:r>
      <w:r w:rsidR="003A0826">
        <w:rPr>
          <w:rFonts w:ascii="Times New Roman" w:hAnsi="Times New Roman" w:cs="Times New Roman"/>
          <w:sz w:val="24"/>
          <w:szCs w:val="24"/>
        </w:rPr>
        <w:t xml:space="preserve">  </w:t>
      </w:r>
      <w:r w:rsidR="00423625" w:rsidRPr="00C82FED">
        <w:rPr>
          <w:rFonts w:ascii="Times New Roman" w:hAnsi="Times New Roman" w:cs="Times New Roman"/>
          <w:sz w:val="24"/>
          <w:szCs w:val="24"/>
        </w:rPr>
        <w:t>Pemeriksaan Dimensi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="00423625" w:rsidRPr="00C82FED">
        <w:rPr>
          <w:rFonts w:ascii="Times New Roman" w:hAnsi="Times New Roman" w:cs="Times New Roman"/>
          <w:sz w:val="24"/>
          <w:szCs w:val="24"/>
        </w:rPr>
        <w:t>Pemeriksaan dimensi dilakukan untuk memeriksa diameter, tebal, panjang dan kelurusan pipa.</w:t>
      </w:r>
    </w:p>
    <w:p w:rsidR="00423625" w:rsidRPr="00C82FED" w:rsidRDefault="0042362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625" w:rsidRPr="00C82FED" w:rsidRDefault="0042362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Pengujian Tidak Merusak 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Non Destructive Test)</w:t>
      </w:r>
    </w:p>
    <w:p w:rsidR="00423625" w:rsidRPr="00C82FED" w:rsidRDefault="0042362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Pengujian tidak merusak dilakukan untuk memeriksa cacat-cacat pada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daerah lasan dengan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Ultrasonic </w:t>
      </w:r>
      <w:r w:rsidRPr="00C82FED">
        <w:rPr>
          <w:rFonts w:ascii="Times New Roman" w:hAnsi="Times New Roman" w:cs="Times New Roman"/>
          <w:sz w:val="24"/>
          <w:szCs w:val="24"/>
        </w:rPr>
        <w:t xml:space="preserve">(UT),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Eddy Current Magnetic Particle </w:t>
      </w:r>
      <w:r w:rsidRPr="00C82FED">
        <w:rPr>
          <w:rFonts w:ascii="Times New Roman" w:hAnsi="Times New Roman" w:cs="Times New Roman"/>
          <w:sz w:val="24"/>
          <w:szCs w:val="24"/>
        </w:rPr>
        <w:t xml:space="preserve">(MPI) maupun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Dye Penetrant </w:t>
      </w:r>
      <w:r w:rsidRPr="00C82FED">
        <w:rPr>
          <w:rFonts w:ascii="Times New Roman" w:hAnsi="Times New Roman" w:cs="Times New Roman"/>
          <w:sz w:val="24"/>
          <w:szCs w:val="24"/>
        </w:rPr>
        <w:t>(DPT).</w:t>
      </w:r>
    </w:p>
    <w:p w:rsidR="00423625" w:rsidRPr="00C82FED" w:rsidRDefault="0042362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625" w:rsidRPr="00C82FED" w:rsidRDefault="00423625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Pengujian Merusak (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Destructive Test)</w:t>
      </w:r>
    </w:p>
    <w:p w:rsidR="00423625" w:rsidRDefault="00324A68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Pengujian merusak dilakukan untuk mengetahui kekuatan dan kehandalan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pipa, baik pada daerah lasan maupun pada materialnya. Pengujian merusak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yang dilakukan di dalam proses produksi adalah pengujian hidrostatik dan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pengujian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flattening. </w:t>
      </w:r>
      <w:r w:rsidRPr="00C82FED">
        <w:rPr>
          <w:rFonts w:ascii="Times New Roman" w:hAnsi="Times New Roman" w:cs="Times New Roman"/>
          <w:sz w:val="24"/>
          <w:szCs w:val="24"/>
        </w:rPr>
        <w:t xml:space="preserve">Pengujian merusak yang dilakukan di laboratorium adalah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Chemical Analysis, Tensile Test, Hardness Test, Metallography, Charpy Test, Drop Weight Tear Test </w:t>
      </w:r>
      <w:r w:rsidRPr="00C82FED">
        <w:rPr>
          <w:rFonts w:ascii="Times New Roman" w:hAnsi="Times New Roman" w:cs="Times New Roman"/>
          <w:sz w:val="24"/>
          <w:szCs w:val="24"/>
        </w:rPr>
        <w:t xml:space="preserve">dan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Bursting Test.</w:t>
      </w:r>
    </w:p>
    <w:p w:rsidR="003A0826" w:rsidRPr="003A0826" w:rsidRDefault="003A0826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9A" w:rsidRPr="00C82FED" w:rsidRDefault="00056C9A" w:rsidP="00C604CA">
      <w:pPr>
        <w:pStyle w:val="NoSpacing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FED">
        <w:rPr>
          <w:rFonts w:ascii="Times New Roman" w:hAnsi="Times New Roman" w:cs="Times New Roman"/>
          <w:b/>
          <w:bCs/>
          <w:sz w:val="24"/>
          <w:szCs w:val="24"/>
        </w:rPr>
        <w:t xml:space="preserve"> Organisasi dan Manajemen PT. Bakrie Pipe Industries</w:t>
      </w:r>
    </w:p>
    <w:p w:rsidR="00056C9A" w:rsidRPr="00C82FED" w:rsidRDefault="00056C9A" w:rsidP="00AF6954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Adapun wewenang dan tanggung jawab dari masing-masing bagian dalam</w:t>
      </w:r>
    </w:p>
    <w:p w:rsidR="00056C9A" w:rsidRDefault="00056C9A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perusahaan adalah sebagai berikut:</w:t>
      </w:r>
    </w:p>
    <w:p w:rsidR="0001319F" w:rsidRPr="00C82FED" w:rsidRDefault="0001319F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9A" w:rsidRPr="00991198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1198">
        <w:rPr>
          <w:rFonts w:ascii="Times New Roman" w:hAnsi="Times New Roman" w:cs="Times New Roman"/>
          <w:b/>
          <w:i/>
          <w:iCs/>
          <w:sz w:val="24"/>
          <w:szCs w:val="24"/>
        </w:rPr>
        <w:t>Chief Financial Officer</w:t>
      </w:r>
    </w:p>
    <w:p w:rsidR="006A6A24" w:rsidRDefault="00056C9A" w:rsidP="0001319F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Chief Financial Officer </w:t>
      </w:r>
      <w:r w:rsidRPr="00C82FED">
        <w:rPr>
          <w:rFonts w:ascii="Times New Roman" w:hAnsi="Times New Roman" w:cs="Times New Roman"/>
          <w:sz w:val="24"/>
          <w:szCs w:val="24"/>
        </w:rPr>
        <w:t>merupakan pemegang tertinggi dalam</w:t>
      </w:r>
      <w:r w:rsidR="003A0826">
        <w:rPr>
          <w:rFonts w:ascii="Times New Roman" w:hAnsi="Times New Roman" w:cs="Times New Roman"/>
          <w:sz w:val="24"/>
          <w:szCs w:val="24"/>
        </w:rPr>
        <w:t xml:space="preserve"> </w:t>
      </w:r>
      <w:r w:rsidR="0001319F">
        <w:rPr>
          <w:rFonts w:ascii="Times New Roman" w:hAnsi="Times New Roman" w:cs="Times New Roman"/>
          <w:sz w:val="24"/>
          <w:szCs w:val="24"/>
        </w:rPr>
        <w:t xml:space="preserve">Departemen </w:t>
      </w:r>
      <w:r w:rsidRPr="00C82FED">
        <w:rPr>
          <w:rFonts w:ascii="Times New Roman" w:hAnsi="Times New Roman" w:cs="Times New Roman"/>
          <w:sz w:val="24"/>
          <w:szCs w:val="24"/>
        </w:rPr>
        <w:t>Keuangan PT. Bakrie Pipe Industries, tugasnya adalah untuk</w:t>
      </w:r>
      <w:r w:rsid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mengambil keputusan-keputusan yang bersifat khusus.</w:t>
      </w:r>
    </w:p>
    <w:p w:rsidR="00E3089A" w:rsidRPr="00C82FED" w:rsidRDefault="00E3089A" w:rsidP="0001319F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6C9A" w:rsidRPr="00991198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1198">
        <w:rPr>
          <w:rFonts w:ascii="Times New Roman" w:hAnsi="Times New Roman" w:cs="Times New Roman"/>
          <w:b/>
          <w:i/>
          <w:iCs/>
          <w:sz w:val="24"/>
          <w:szCs w:val="24"/>
        </w:rPr>
        <w:t>I. T. Manager</w:t>
      </w:r>
    </w:p>
    <w:p w:rsidR="00B6092E" w:rsidRDefault="00056C9A" w:rsidP="0001319F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Tugas seorang manajer IT adalah melakukan kontrol atas</w:t>
      </w:r>
      <w:r w:rsid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terlaksananya</w:t>
      </w:r>
      <w:r w:rsid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system developer </w:t>
      </w:r>
      <w:r w:rsidRPr="00C82FED">
        <w:rPr>
          <w:rFonts w:ascii="Times New Roman" w:hAnsi="Times New Roman" w:cs="Times New Roman"/>
          <w:sz w:val="24"/>
          <w:szCs w:val="24"/>
        </w:rPr>
        <w:t xml:space="preserve">dan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system administrator </w:t>
      </w:r>
      <w:r w:rsidRPr="00C82FED">
        <w:rPr>
          <w:rFonts w:ascii="Times New Roman" w:hAnsi="Times New Roman" w:cs="Times New Roman"/>
          <w:sz w:val="24"/>
          <w:szCs w:val="24"/>
        </w:rPr>
        <w:t>perusahaan dan</w:t>
      </w:r>
      <w:r w:rsid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bertanggung jawab terhadap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r w:rsidRPr="00C82FED">
        <w:rPr>
          <w:rFonts w:ascii="Times New Roman" w:hAnsi="Times New Roman" w:cs="Times New Roman"/>
          <w:sz w:val="24"/>
          <w:szCs w:val="24"/>
        </w:rPr>
        <w:t>atas semua departemen dalam</w:t>
      </w:r>
      <w:r w:rsid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perusahaan.</w:t>
      </w:r>
    </w:p>
    <w:p w:rsidR="00056C9A" w:rsidRPr="00991198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11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91198">
        <w:rPr>
          <w:rFonts w:ascii="Times New Roman" w:hAnsi="Times New Roman" w:cs="Times New Roman"/>
          <w:b/>
          <w:i/>
          <w:iCs/>
          <w:sz w:val="24"/>
          <w:szCs w:val="24"/>
        </w:rPr>
        <w:t>Finance Manager</w:t>
      </w:r>
    </w:p>
    <w:p w:rsidR="00056C9A" w:rsidRDefault="00056C9A" w:rsidP="00AF6954">
      <w:pPr>
        <w:pStyle w:val="NoSpacing"/>
        <w:spacing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Tugas seorang manajer keuangan adalah melakukan kontrol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intern</w:t>
      </w:r>
      <w:r w:rsidR="0099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terhadap laporan keuangan bulanan, memeriksa proyeksi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cash flow </w:t>
      </w:r>
      <w:r w:rsidRPr="00C82FED">
        <w:rPr>
          <w:rFonts w:ascii="Times New Roman" w:hAnsi="Times New Roman" w:cs="Times New Roman"/>
          <w:sz w:val="24"/>
          <w:szCs w:val="24"/>
        </w:rPr>
        <w:t>setiap</w:t>
      </w:r>
      <w:r w:rsidR="0099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bulannya dari Departemen Keuangan serta menganalisisnya, membuat</w:t>
      </w:r>
      <w:r w:rsidR="0099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319F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C82FED">
        <w:rPr>
          <w:rFonts w:ascii="Times New Roman" w:hAnsi="Times New Roman" w:cs="Times New Roman"/>
          <w:sz w:val="24"/>
          <w:szCs w:val="24"/>
        </w:rPr>
        <w:t>laporan keuangan setiap bulan, bertanggung jawab terhadap</w:t>
      </w:r>
      <w:r w:rsidR="0099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anggaran perusahaan, dan bertanggung jawab atas seluruh proses</w:t>
      </w:r>
      <w:r w:rsidR="0099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akuntansi dan pelaporannya.</w:t>
      </w:r>
    </w:p>
    <w:p w:rsidR="0001319F" w:rsidRPr="00991198" w:rsidRDefault="0001319F" w:rsidP="00AF6954">
      <w:pPr>
        <w:pStyle w:val="NoSpacing"/>
        <w:spacing w:line="360" w:lineRule="auto"/>
        <w:ind w:left="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6C9A" w:rsidRPr="001859B2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Accounting and Tax Manager</w:t>
      </w:r>
    </w:p>
    <w:p w:rsidR="00056C9A" w:rsidRDefault="00056C9A" w:rsidP="00AF6954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Tugas seorang manajer akunting dan pajak adalah melakukan kontrol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intern</w:t>
      </w:r>
      <w:r w:rsidR="001859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terhadap laporan akuntansi dan pajak bulanan, memeriksa proyeksi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PPh Badan serta menhanalisisnya, bertanggung jawab terhadap laporan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akuntansi dan pajakperusahaan, dan bertanggung jawab terhadap laporan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akuntansi manajemen perusahaan serta menganalisinya.</w:t>
      </w:r>
    </w:p>
    <w:p w:rsidR="0001319F" w:rsidRPr="00C82FED" w:rsidRDefault="0001319F" w:rsidP="00AF6954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56C9A" w:rsidRPr="001859B2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Cash and Bank Supervisor</w:t>
      </w:r>
    </w:p>
    <w:p w:rsidR="00056C9A" w:rsidRDefault="00056C9A" w:rsidP="0001319F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Tugas bagian kasir adalah menyimpan dana kas kecil,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mempertanggungjawabkan seluruh penggunaan dana yang terjadi,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membuat proyeksi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cash flow </w:t>
      </w:r>
      <w:r w:rsidRPr="00C82FED">
        <w:rPr>
          <w:rFonts w:ascii="Times New Roman" w:hAnsi="Times New Roman" w:cs="Times New Roman"/>
          <w:sz w:val="24"/>
          <w:szCs w:val="24"/>
        </w:rPr>
        <w:t>secara berkala, dan mengatur jadwal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penagihan ke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costumer</w:t>
      </w:r>
      <w:r w:rsidR="006A6A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319F" w:rsidRPr="006A6A24" w:rsidRDefault="0001319F" w:rsidP="0001319F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6C9A" w:rsidRPr="001859B2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Collection Supervisor</w:t>
      </w:r>
    </w:p>
    <w:p w:rsidR="00056C9A" w:rsidRDefault="00056C9A" w:rsidP="00AF6954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Collection Supervisor </w:t>
      </w:r>
      <w:r w:rsidRPr="00C82FED">
        <w:rPr>
          <w:rFonts w:ascii="Times New Roman" w:hAnsi="Times New Roman" w:cs="Times New Roman"/>
          <w:sz w:val="24"/>
          <w:szCs w:val="24"/>
        </w:rPr>
        <w:t>tugasnya adalah bertanggung jawab terhadap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piutang para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costumer, </w:t>
      </w:r>
      <w:r w:rsidRPr="00C82FED">
        <w:rPr>
          <w:rFonts w:ascii="Times New Roman" w:hAnsi="Times New Roman" w:cs="Times New Roman"/>
          <w:sz w:val="24"/>
          <w:szCs w:val="24"/>
        </w:rPr>
        <w:t>menagih, dan meminta kejelasan kondisi para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>costumer.</w:t>
      </w:r>
    </w:p>
    <w:p w:rsidR="00056C9A" w:rsidRPr="001859B2" w:rsidRDefault="00056C9A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Sales Adm. Supervisor</w:t>
      </w:r>
    </w:p>
    <w:p w:rsidR="00E57873" w:rsidRDefault="00056C9A" w:rsidP="00AF6954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Tugas dari seorang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sales supevisor </w:t>
      </w:r>
      <w:r w:rsidRPr="00C82FED">
        <w:rPr>
          <w:rFonts w:ascii="Times New Roman" w:hAnsi="Times New Roman" w:cs="Times New Roman"/>
          <w:sz w:val="24"/>
          <w:szCs w:val="24"/>
        </w:rPr>
        <w:t>adalah melakukan koordinasi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dengan bagian</w:t>
      </w:r>
      <w:r w:rsidR="001859B2">
        <w:rPr>
          <w:rFonts w:ascii="Times New Roman" w:hAnsi="Times New Roman" w:cs="Times New Roman"/>
          <w:sz w:val="24"/>
          <w:szCs w:val="24"/>
        </w:rPr>
        <w:t>.</w:t>
      </w:r>
    </w:p>
    <w:p w:rsidR="00C37C70" w:rsidRPr="001859B2" w:rsidRDefault="00C37C70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Liability Officer</w:t>
      </w:r>
    </w:p>
    <w:p w:rsidR="00AF6954" w:rsidRDefault="00C37C70" w:rsidP="0001319F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Tugas dari bagian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liability officer </w:t>
      </w:r>
      <w:r w:rsidRPr="00C82FED">
        <w:rPr>
          <w:rFonts w:ascii="Times New Roman" w:hAnsi="Times New Roman" w:cs="Times New Roman"/>
          <w:sz w:val="24"/>
          <w:szCs w:val="24"/>
        </w:rPr>
        <w:t>adalah menghitung sisa hutang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impor untuk tiap bulannya berdasarkan kurs yang berlaku dan membuat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 xml:space="preserve">laporan hutang per </w:t>
      </w:r>
      <w:r w:rsidRPr="00C82FED">
        <w:rPr>
          <w:rFonts w:ascii="Times New Roman" w:hAnsi="Times New Roman" w:cs="Times New Roman"/>
          <w:i/>
          <w:iCs/>
          <w:sz w:val="24"/>
          <w:szCs w:val="24"/>
        </w:rPr>
        <w:t xml:space="preserve">supplier </w:t>
      </w:r>
      <w:r w:rsidR="0001319F">
        <w:rPr>
          <w:rFonts w:ascii="Times New Roman" w:hAnsi="Times New Roman" w:cs="Times New Roman"/>
          <w:sz w:val="24"/>
          <w:szCs w:val="24"/>
        </w:rPr>
        <w:t>setiap bulannya</w:t>
      </w:r>
    </w:p>
    <w:p w:rsidR="00E3089A" w:rsidRPr="00C82FED" w:rsidRDefault="00E3089A" w:rsidP="0001319F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37C70" w:rsidRPr="001859B2" w:rsidRDefault="00C37C70" w:rsidP="00AF6954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General Accounting</w:t>
      </w:r>
    </w:p>
    <w:p w:rsidR="001859B2" w:rsidRDefault="00C37C70" w:rsidP="0001319F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Tugas dari akunting adalah mencatat seluruh transaksi yang dilakukan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perusahaan, membuat laporan keuangan tiap bulannya berdasarkan proses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akuntansi, dan mempertanggungjawabkan laporan keuangan pada manajer</w:t>
      </w:r>
      <w:r w:rsid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akunting dan pajak.</w:t>
      </w:r>
    </w:p>
    <w:p w:rsidR="00E3089A" w:rsidRPr="00C82FED" w:rsidRDefault="00E3089A" w:rsidP="0001319F">
      <w:pPr>
        <w:pStyle w:val="NoSpacing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319F" w:rsidRDefault="00C37C70" w:rsidP="0001319F">
      <w:pPr>
        <w:pStyle w:val="NoSpacing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859B2">
        <w:rPr>
          <w:rFonts w:ascii="Times New Roman" w:hAnsi="Times New Roman" w:cs="Times New Roman"/>
          <w:b/>
          <w:i/>
          <w:iCs/>
          <w:sz w:val="24"/>
          <w:szCs w:val="24"/>
        </w:rPr>
        <w:t>Budget Supervisor</w:t>
      </w:r>
    </w:p>
    <w:p w:rsidR="00E57873" w:rsidRPr="0001319F" w:rsidRDefault="00C37C70" w:rsidP="0001319F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19F">
        <w:rPr>
          <w:rFonts w:ascii="Times New Roman" w:hAnsi="Times New Roman" w:cs="Times New Roman"/>
          <w:sz w:val="24"/>
          <w:szCs w:val="24"/>
        </w:rPr>
        <w:t>Bertanggung jawab terhadap anggaran perusahaan, membuatrekonsiliasi atas Pajak Masukan dan Pajak Keluaran perusahaan tiap</w:t>
      </w:r>
      <w:r w:rsidR="001859B2" w:rsidRP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01319F">
        <w:rPr>
          <w:rFonts w:ascii="Times New Roman" w:hAnsi="Times New Roman" w:cs="Times New Roman"/>
          <w:sz w:val="24"/>
          <w:szCs w:val="24"/>
        </w:rPr>
        <w:t>bulannya, bertanggung jawab terhadap audit perusahaan, dan bertanggung</w:t>
      </w:r>
      <w:r w:rsidR="001859B2" w:rsidRPr="0001319F">
        <w:rPr>
          <w:rFonts w:ascii="Times New Roman" w:hAnsi="Times New Roman" w:cs="Times New Roman"/>
          <w:sz w:val="24"/>
          <w:szCs w:val="24"/>
        </w:rPr>
        <w:t xml:space="preserve"> </w:t>
      </w:r>
      <w:r w:rsidRPr="0001319F">
        <w:rPr>
          <w:rFonts w:ascii="Times New Roman" w:hAnsi="Times New Roman" w:cs="Times New Roman"/>
          <w:sz w:val="24"/>
          <w:szCs w:val="24"/>
        </w:rPr>
        <w:t>jawab jika sewaktu-waktu ada pemeriksaan pajak.</w:t>
      </w: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32" w:rsidRPr="00C82FED" w:rsidRDefault="00024732" w:rsidP="00AF695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32" w:rsidRPr="00C82FED" w:rsidRDefault="00024732" w:rsidP="00C604CA">
      <w:pPr>
        <w:pStyle w:val="NoSpacing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4732" w:rsidRPr="00C82FED" w:rsidSect="008E433A">
      <w:footerReference w:type="default" r:id="rId8"/>
      <w:pgSz w:w="11907" w:h="16839" w:code="9"/>
      <w:pgMar w:top="1701" w:right="1701" w:bottom="1701" w:left="2268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B2" w:rsidRDefault="00C22AB2" w:rsidP="00EC04FD">
      <w:pPr>
        <w:pStyle w:val="NoSpacing"/>
      </w:pPr>
      <w:r>
        <w:separator/>
      </w:r>
    </w:p>
  </w:endnote>
  <w:endnote w:type="continuationSeparator" w:id="1">
    <w:p w:rsidR="00C22AB2" w:rsidRDefault="00C22AB2" w:rsidP="00EC04F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8094"/>
      <w:docPartObj>
        <w:docPartGallery w:val="Page Numbers (Bottom of Page)"/>
        <w:docPartUnique/>
      </w:docPartObj>
    </w:sdtPr>
    <w:sdtContent>
      <w:p w:rsidR="00CC118D" w:rsidRDefault="00C7306C">
        <w:pPr>
          <w:pStyle w:val="Footer"/>
          <w:jc w:val="right"/>
        </w:pPr>
        <w:fldSimple w:instr=" PAGE   \* MERGEFORMAT ">
          <w:r w:rsidR="00E3089A">
            <w:rPr>
              <w:noProof/>
            </w:rPr>
            <w:t>32</w:t>
          </w:r>
        </w:fldSimple>
      </w:p>
    </w:sdtContent>
  </w:sdt>
  <w:p w:rsidR="00C22AB2" w:rsidRDefault="00C22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B2" w:rsidRDefault="00C22AB2" w:rsidP="00EC04FD">
      <w:pPr>
        <w:pStyle w:val="NoSpacing"/>
      </w:pPr>
      <w:r>
        <w:separator/>
      </w:r>
    </w:p>
  </w:footnote>
  <w:footnote w:type="continuationSeparator" w:id="1">
    <w:p w:rsidR="00C22AB2" w:rsidRDefault="00C22AB2" w:rsidP="00EC04F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EC"/>
    <w:multiLevelType w:val="hybridMultilevel"/>
    <w:tmpl w:val="C480E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4A63"/>
    <w:multiLevelType w:val="hybridMultilevel"/>
    <w:tmpl w:val="1570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2862"/>
    <w:multiLevelType w:val="hybridMultilevel"/>
    <w:tmpl w:val="67D2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7A9"/>
    <w:multiLevelType w:val="hybridMultilevel"/>
    <w:tmpl w:val="30B6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18B6"/>
    <w:multiLevelType w:val="multilevel"/>
    <w:tmpl w:val="651C6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C234AE7"/>
    <w:multiLevelType w:val="hybridMultilevel"/>
    <w:tmpl w:val="D18A394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BB2B7D"/>
    <w:multiLevelType w:val="multilevel"/>
    <w:tmpl w:val="2722A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7">
    <w:nsid w:val="50FE5A8D"/>
    <w:multiLevelType w:val="hybridMultilevel"/>
    <w:tmpl w:val="2646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23CDE"/>
    <w:multiLevelType w:val="hybridMultilevel"/>
    <w:tmpl w:val="9DC03F40"/>
    <w:lvl w:ilvl="0" w:tplc="4CFCD78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55081"/>
    <w:multiLevelType w:val="multilevel"/>
    <w:tmpl w:val="59EE59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0">
    <w:nsid w:val="7192316E"/>
    <w:multiLevelType w:val="multilevel"/>
    <w:tmpl w:val="F17CE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97831A9"/>
    <w:multiLevelType w:val="hybridMultilevel"/>
    <w:tmpl w:val="9BA6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32"/>
    <w:rsid w:val="000039BA"/>
    <w:rsid w:val="0001319F"/>
    <w:rsid w:val="00024732"/>
    <w:rsid w:val="000323B2"/>
    <w:rsid w:val="00036698"/>
    <w:rsid w:val="0005064A"/>
    <w:rsid w:val="00056C9A"/>
    <w:rsid w:val="00171A7B"/>
    <w:rsid w:val="001859B2"/>
    <w:rsid w:val="001C40DE"/>
    <w:rsid w:val="001D33BF"/>
    <w:rsid w:val="001D378B"/>
    <w:rsid w:val="002518B5"/>
    <w:rsid w:val="00324A68"/>
    <w:rsid w:val="00383FEB"/>
    <w:rsid w:val="003A0826"/>
    <w:rsid w:val="003A2F53"/>
    <w:rsid w:val="003B0A6C"/>
    <w:rsid w:val="003F78AF"/>
    <w:rsid w:val="004008CA"/>
    <w:rsid w:val="00423625"/>
    <w:rsid w:val="00485FBF"/>
    <w:rsid w:val="004F652E"/>
    <w:rsid w:val="00514DCE"/>
    <w:rsid w:val="00550CEF"/>
    <w:rsid w:val="00637FD5"/>
    <w:rsid w:val="006611F3"/>
    <w:rsid w:val="00663290"/>
    <w:rsid w:val="006A6A24"/>
    <w:rsid w:val="006C4F40"/>
    <w:rsid w:val="00705EAF"/>
    <w:rsid w:val="00731419"/>
    <w:rsid w:val="00813E9D"/>
    <w:rsid w:val="00825A82"/>
    <w:rsid w:val="008A6A75"/>
    <w:rsid w:val="008C3F67"/>
    <w:rsid w:val="008E433A"/>
    <w:rsid w:val="008E747E"/>
    <w:rsid w:val="00943AEB"/>
    <w:rsid w:val="009441B5"/>
    <w:rsid w:val="00991198"/>
    <w:rsid w:val="009A65BB"/>
    <w:rsid w:val="009B05D9"/>
    <w:rsid w:val="009C2747"/>
    <w:rsid w:val="009C6D34"/>
    <w:rsid w:val="00A35612"/>
    <w:rsid w:val="00AF6954"/>
    <w:rsid w:val="00B6092E"/>
    <w:rsid w:val="00BC154F"/>
    <w:rsid w:val="00BE2E16"/>
    <w:rsid w:val="00C22AB2"/>
    <w:rsid w:val="00C37C70"/>
    <w:rsid w:val="00C604CA"/>
    <w:rsid w:val="00C7306C"/>
    <w:rsid w:val="00C82FED"/>
    <w:rsid w:val="00C9118C"/>
    <w:rsid w:val="00CA1F97"/>
    <w:rsid w:val="00CC118D"/>
    <w:rsid w:val="00CF4561"/>
    <w:rsid w:val="00DA48D2"/>
    <w:rsid w:val="00DB3044"/>
    <w:rsid w:val="00DF20F6"/>
    <w:rsid w:val="00E226F0"/>
    <w:rsid w:val="00E3089A"/>
    <w:rsid w:val="00E57873"/>
    <w:rsid w:val="00EC04FD"/>
    <w:rsid w:val="00F12231"/>
    <w:rsid w:val="00F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 [3212]"/>
    </o:shapedefaults>
    <o:shapelayout v:ext="edit">
      <o:idmap v:ext="edit" data="1"/>
      <o:rules v:ext="edit">
        <o:r id="V:Rule30" type="connector" idref="#_x0000_s1114"/>
        <o:r id="V:Rule31" type="connector" idref="#_x0000_s1048"/>
        <o:r id="V:Rule32" type="connector" idref="#_x0000_s1118"/>
        <o:r id="V:Rule33" type="connector" idref="#_x0000_s1082"/>
        <o:r id="V:Rule34" type="connector" idref="#_x0000_s1051"/>
        <o:r id="V:Rule35" type="connector" idref="#_x0000_s1117"/>
        <o:r id="V:Rule36" type="connector" idref="#_x0000_s1098"/>
        <o:r id="V:Rule37" type="connector" idref="#_x0000_s1100"/>
        <o:r id="V:Rule38" type="connector" idref="#_x0000_s1093"/>
        <o:r id="V:Rule39" type="connector" idref="#_x0000_s1092"/>
        <o:r id="V:Rule40" type="connector" idref="#_x0000_s1055"/>
        <o:r id="V:Rule41" type="connector" idref="#_x0000_s1115"/>
        <o:r id="V:Rule42" type="connector" idref="#_x0000_s1101"/>
        <o:r id="V:Rule43" type="connector" idref="#_x0000_s1044"/>
        <o:r id="V:Rule44" type="connector" idref="#_x0000_s1112"/>
        <o:r id="V:Rule45" type="connector" idref="#_x0000_s1043"/>
        <o:r id="V:Rule46" type="connector" idref="#_x0000_s1113"/>
        <o:r id="V:Rule47" type="connector" idref="#_x0000_s1053"/>
        <o:r id="V:Rule48" type="connector" idref="#_x0000_s1095"/>
        <o:r id="V:Rule49" type="connector" idref="#_x0000_s1049"/>
        <o:r id="V:Rule50" type="connector" idref="#_x0000_s1081"/>
        <o:r id="V:Rule51" type="connector" idref="#_x0000_s1099"/>
        <o:r id="V:Rule52" type="connector" idref="#_x0000_s1094"/>
        <o:r id="V:Rule53" type="connector" idref="#_x0000_s1045"/>
        <o:r id="V:Rule54" type="connector" idref="#_x0000_s1052"/>
        <o:r id="V:Rule55" type="connector" idref="#_x0000_s1046"/>
        <o:r id="V:Rule56" type="connector" idref="#_x0000_s1050"/>
        <o:r id="V:Rule57" type="connector" idref="#_x0000_s1047"/>
        <o:r id="V:Rule58" type="connector" idref="#_x0000_s1054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  <o:entry new="8" old="7"/>
        <o:entry new="9" old="0"/>
        <o:entry new="10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32"/>
    <w:pPr>
      <w:ind w:left="720"/>
      <w:contextualSpacing/>
    </w:pPr>
  </w:style>
  <w:style w:type="table" w:styleId="TableGrid">
    <w:name w:val="Table Grid"/>
    <w:basedOn w:val="TableNormal"/>
    <w:uiPriority w:val="59"/>
    <w:rsid w:val="0066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32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C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4FD"/>
  </w:style>
  <w:style w:type="paragraph" w:styleId="Footer">
    <w:name w:val="footer"/>
    <w:basedOn w:val="Normal"/>
    <w:link w:val="FooterChar"/>
    <w:uiPriority w:val="99"/>
    <w:unhideWhenUsed/>
    <w:rsid w:val="00EC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6FF6-F9F5-455D-B0D4-E81D5545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angga_uchiha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</dc:creator>
  <cp:keywords/>
  <dc:description/>
  <cp:lastModifiedBy>SERVER</cp:lastModifiedBy>
  <cp:revision>22</cp:revision>
  <cp:lastPrinted>2013-07-04T12:30:00Z</cp:lastPrinted>
  <dcterms:created xsi:type="dcterms:W3CDTF">2012-05-10T13:04:00Z</dcterms:created>
  <dcterms:modified xsi:type="dcterms:W3CDTF">2013-07-04T12:30:00Z</dcterms:modified>
</cp:coreProperties>
</file>