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9AD47" w14:textId="77777777" w:rsidR="00F15B73" w:rsidRDefault="00331B27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Dokumen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Penelitian</w:t>
      </w:r>
      <w:proofErr w:type="spellEnd"/>
      <w:r>
        <w:rPr>
          <w:sz w:val="26"/>
          <w:szCs w:val="26"/>
        </w:rPr>
        <w:t xml:space="preserve"> Dr. </w:t>
      </w:r>
      <w:proofErr w:type="spellStart"/>
      <w:r>
        <w:rPr>
          <w:sz w:val="26"/>
          <w:szCs w:val="26"/>
        </w:rPr>
        <w:t>Sulistyowati</w:t>
      </w:r>
      <w:proofErr w:type="spellEnd"/>
      <w:r>
        <w:rPr>
          <w:sz w:val="26"/>
          <w:szCs w:val="26"/>
        </w:rPr>
        <w:t xml:space="preserve">, SE., </w:t>
      </w:r>
      <w:proofErr w:type="spellStart"/>
      <w:proofErr w:type="gramStart"/>
      <w:r>
        <w:rPr>
          <w:sz w:val="26"/>
          <w:szCs w:val="26"/>
        </w:rPr>
        <w:t>M.Si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Tahun</w:t>
      </w:r>
      <w:proofErr w:type="spellEnd"/>
      <w:r>
        <w:rPr>
          <w:sz w:val="26"/>
          <w:szCs w:val="26"/>
        </w:rPr>
        <w:t xml:space="preserve"> 202</w:t>
      </w:r>
      <w:r>
        <w:rPr>
          <w:sz w:val="26"/>
          <w:szCs w:val="26"/>
        </w:rPr>
        <w:t>4</w:t>
      </w:r>
    </w:p>
    <w:p w14:paraId="78995761" w14:textId="77777777" w:rsidR="00F15B73" w:rsidRDefault="00F15B73">
      <w:pPr>
        <w:rPr>
          <w:sz w:val="26"/>
          <w:szCs w:val="26"/>
        </w:rPr>
      </w:pPr>
    </w:p>
    <w:tbl>
      <w:tblPr>
        <w:tblStyle w:val="TableGrid"/>
        <w:tblW w:w="10418" w:type="dxa"/>
        <w:tblLook w:val="04A0" w:firstRow="1" w:lastRow="0" w:firstColumn="1" w:lastColumn="0" w:noHBand="0" w:noVBand="1"/>
      </w:tblPr>
      <w:tblGrid>
        <w:gridCol w:w="2902"/>
        <w:gridCol w:w="7516"/>
      </w:tblGrid>
      <w:tr w:rsidR="00F15B73" w14:paraId="1D5B9ECB" w14:textId="77777777" w:rsidTr="00D264F9">
        <w:trPr>
          <w:trHeight w:val="796"/>
        </w:trPr>
        <w:tc>
          <w:tcPr>
            <w:tcW w:w="3539" w:type="dxa"/>
          </w:tcPr>
          <w:p w14:paraId="2DBA153B" w14:textId="77777777" w:rsidR="00F15B73" w:rsidRDefault="00331B27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Artikel</w:t>
            </w:r>
            <w:proofErr w:type="spellEnd"/>
          </w:p>
        </w:tc>
        <w:tc>
          <w:tcPr>
            <w:tcW w:w="6879" w:type="dxa"/>
          </w:tcPr>
          <w:p w14:paraId="56CD4EFA" w14:textId="77777777" w:rsidR="00F15B73" w:rsidRDefault="00331B2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URL </w:t>
            </w:r>
            <w:proofErr w:type="spellStart"/>
            <w:r>
              <w:rPr>
                <w:b/>
                <w:bCs/>
              </w:rPr>
              <w:t>Dokumen</w:t>
            </w:r>
            <w:proofErr w:type="spellEnd"/>
          </w:p>
        </w:tc>
      </w:tr>
      <w:tr w:rsidR="00F15B73" w14:paraId="72299F9C" w14:textId="77777777" w:rsidTr="00D264F9">
        <w:trPr>
          <w:trHeight w:val="1291"/>
        </w:trPr>
        <w:tc>
          <w:tcPr>
            <w:tcW w:w="3539" w:type="dxa"/>
          </w:tcPr>
          <w:p w14:paraId="5EE7A0A5" w14:textId="77777777" w:rsidR="00F15B73" w:rsidRDefault="00331B27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Taxpayer Compliance of MSME: The Role of Tax Knowledge, Tax Office Service Quality, and Trust in the Government</w:t>
            </w:r>
          </w:p>
        </w:tc>
        <w:tc>
          <w:tcPr>
            <w:tcW w:w="6879" w:type="dxa"/>
          </w:tcPr>
          <w:p w14:paraId="770ABE0B" w14:textId="77777777" w:rsidR="00F15B73" w:rsidRDefault="00331B27">
            <w:pPr>
              <w:spacing w:after="0" w:line="240" w:lineRule="auto"/>
              <w:jc w:val="both"/>
              <w:rPr>
                <w:b/>
                <w:bCs/>
              </w:rPr>
            </w:pPr>
            <w:hyperlink r:id="rId6" w:tgtFrame="https://sister-pt.kemdiktisaintek.go.id/tridharma/publikasi/blank" w:history="1">
              <w:r>
                <w:rPr>
                  <w:rStyle w:val="Hyperlink"/>
                  <w:rFonts w:ascii="Helvetica" w:eastAsia="Helvetica" w:hAnsi="Helvetica" w:cs="Helvetica"/>
                  <w:color w:val="337AB7"/>
                  <w:sz w:val="19"/>
                  <w:szCs w:val="19"/>
                  <w:u w:val="none"/>
                  <w:shd w:val="clear" w:color="auto" w:fill="FFFFFF"/>
                </w:rPr>
                <w:t>https://sanscientific.com/journal/index.php/tpf/article/view/230</w:t>
              </w:r>
            </w:hyperlink>
          </w:p>
        </w:tc>
      </w:tr>
      <w:tr w:rsidR="00F15B73" w14:paraId="35C3184B" w14:textId="77777777" w:rsidTr="00D264F9">
        <w:trPr>
          <w:trHeight w:val="1281"/>
        </w:trPr>
        <w:tc>
          <w:tcPr>
            <w:tcW w:w="3539" w:type="dxa"/>
          </w:tcPr>
          <w:p w14:paraId="41DD0800" w14:textId="77777777" w:rsidR="00F15B73" w:rsidRDefault="00331B27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Dinamika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penghindaran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pajak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perusahaan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: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Menelaah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pengaruh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koneksi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politik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,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kepemilikan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institusional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dan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komisaris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independen</w:t>
            </w:r>
            <w:proofErr w:type="spellEnd"/>
          </w:p>
        </w:tc>
        <w:tc>
          <w:tcPr>
            <w:tcW w:w="6879" w:type="dxa"/>
          </w:tcPr>
          <w:p w14:paraId="5788CA3B" w14:textId="77777777" w:rsidR="00F15B73" w:rsidRDefault="00331B27">
            <w:pPr>
              <w:spacing w:after="0" w:line="240" w:lineRule="auto"/>
              <w:jc w:val="both"/>
              <w:rPr>
                <w:b/>
                <w:bCs/>
              </w:rPr>
            </w:pPr>
            <w:hyperlink r:id="rId7" w:tgtFrame="https://sister-pt.kemdiktisaintek.go.id/tridharma/publikasi/blank" w:history="1">
              <w:r>
                <w:rPr>
                  <w:rStyle w:val="Hyperlink"/>
                  <w:rFonts w:ascii="Helvetica" w:eastAsia="Helvetica" w:hAnsi="Helvetica" w:cs="Helvetica"/>
                  <w:color w:val="337AB7"/>
                  <w:sz w:val="19"/>
                  <w:szCs w:val="19"/>
                  <w:u w:val="none"/>
                  <w:shd w:val="clear" w:color="auto" w:fill="FFFFFF"/>
                </w:rPr>
                <w:t>https://ejournal.stei.ac</w:t>
              </w:r>
              <w:r>
                <w:rPr>
                  <w:rStyle w:val="Hyperlink"/>
                  <w:rFonts w:ascii="Helvetica" w:eastAsia="Helvetica" w:hAnsi="Helvetica" w:cs="Helvetica"/>
                  <w:color w:val="337AB7"/>
                  <w:sz w:val="19"/>
                  <w:szCs w:val="19"/>
                  <w:u w:val="none"/>
                  <w:shd w:val="clear" w:color="auto" w:fill="FFFFFF"/>
                </w:rPr>
                <w:t>.id/index.php/JAM/article/view/1642</w:t>
              </w:r>
            </w:hyperlink>
          </w:p>
        </w:tc>
      </w:tr>
      <w:tr w:rsidR="00F15B73" w14:paraId="51B6498D" w14:textId="77777777" w:rsidTr="00D264F9">
        <w:trPr>
          <w:trHeight w:val="1952"/>
        </w:trPr>
        <w:tc>
          <w:tcPr>
            <w:tcW w:w="3539" w:type="dxa"/>
          </w:tcPr>
          <w:p w14:paraId="1887CD70" w14:textId="77777777" w:rsidR="00F15B73" w:rsidRDefault="00331B27">
            <w:pPr>
              <w:spacing w:after="0" w:line="240" w:lineRule="auto"/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</w:pP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Dampak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Profitabilitas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,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Intensitas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Modal, dan Leverage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terhadap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Tingkat Tax Avoidance (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Studi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pada Perusahaan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Manufaktur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Sektor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Industri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Barang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Konsumsi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yang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terdaftar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di BEI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periode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tahun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2021-2023)</w:t>
            </w:r>
          </w:p>
        </w:tc>
        <w:tc>
          <w:tcPr>
            <w:tcW w:w="6879" w:type="dxa"/>
          </w:tcPr>
          <w:p w14:paraId="2CE11383" w14:textId="77777777" w:rsidR="00F15B73" w:rsidRDefault="00331B27">
            <w:pPr>
              <w:spacing w:after="0" w:line="240" w:lineRule="auto"/>
              <w:jc w:val="both"/>
              <w:rPr>
                <w:rFonts w:ascii="Helvetica" w:eastAsia="Helvetica" w:hAnsi="Helvetica" w:cs="Helvetica"/>
                <w:color w:val="337AB7"/>
                <w:sz w:val="19"/>
                <w:szCs w:val="19"/>
                <w:shd w:val="clear" w:color="auto" w:fill="FFFFFF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br/>
            </w:r>
            <w:r>
              <w:rPr>
                <w:rFonts w:ascii="Helvetica" w:eastAsia="Helvetica" w:hAnsi="Helvetica" w:cs="Helvetica"/>
                <w:color w:val="337AB7"/>
                <w:sz w:val="19"/>
                <w:szCs w:val="19"/>
                <w:shd w:val="clear" w:color="auto" w:fill="FFFFFF"/>
              </w:rPr>
              <w:t>https://jptam.org/index.php/jptam/article/view/23450</w:t>
            </w:r>
          </w:p>
        </w:tc>
      </w:tr>
      <w:tr w:rsidR="00F15B73" w14:paraId="6D55146D" w14:textId="77777777" w:rsidTr="00D264F9">
        <w:trPr>
          <w:trHeight w:val="1143"/>
        </w:trPr>
        <w:tc>
          <w:tcPr>
            <w:tcW w:w="3539" w:type="dxa"/>
          </w:tcPr>
          <w:p w14:paraId="59309291" w14:textId="77777777" w:rsidR="00F15B73" w:rsidRDefault="00331B27">
            <w:pPr>
              <w:spacing w:after="0" w:line="240" w:lineRule="auto"/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</w:pPr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Accuracy of the Financial Distress Model in Transportation Firms: Altman, </w:t>
            </w:r>
            <w:proofErr w:type="spellStart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Springate</w:t>
            </w:r>
            <w:proofErr w:type="spellEnd"/>
            <w:r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 and Grover Model</w:t>
            </w:r>
          </w:p>
        </w:tc>
        <w:tc>
          <w:tcPr>
            <w:tcW w:w="6879" w:type="dxa"/>
          </w:tcPr>
          <w:p w14:paraId="3773B78B" w14:textId="77777777" w:rsidR="00F15B73" w:rsidRDefault="00331B27">
            <w:pPr>
              <w:spacing w:after="0" w:line="240" w:lineRule="auto"/>
              <w:jc w:val="both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br/>
            </w:r>
            <w:r>
              <w:rPr>
                <w:rFonts w:ascii="Helvetica" w:eastAsia="Helvetica" w:hAnsi="Helvetica" w:cs="Helvetica"/>
                <w:color w:val="337AB7"/>
                <w:sz w:val="19"/>
                <w:szCs w:val="19"/>
                <w:shd w:val="clear" w:color="auto" w:fill="FFFFFF"/>
              </w:rPr>
              <w:t>https://sanscientific.com/journal/index.php/tpf/article/view/362</w:t>
            </w:r>
          </w:p>
        </w:tc>
      </w:tr>
      <w:tr w:rsidR="00D264F9" w14:paraId="17C1671D" w14:textId="77777777" w:rsidTr="00D264F9">
        <w:trPr>
          <w:trHeight w:val="843"/>
        </w:trPr>
        <w:tc>
          <w:tcPr>
            <w:tcW w:w="3539" w:type="dxa"/>
          </w:tcPr>
          <w:p w14:paraId="415DF934" w14:textId="77777777" w:rsidR="00D264F9" w:rsidRPr="00D264F9" w:rsidRDefault="00D264F9" w:rsidP="00D264F9">
            <w:pPr>
              <w:spacing w:after="0" w:line="240" w:lineRule="auto"/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</w:pPr>
            <w:r w:rsidRPr="00D264F9"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 xml:space="preserve">Analysis of Internal Factors Affecting Tax Avoidance in </w:t>
            </w:r>
          </w:p>
          <w:p w14:paraId="269892C3" w14:textId="4D2E14B5" w:rsidR="00D264F9" w:rsidRDefault="00D264F9" w:rsidP="00D264F9">
            <w:pPr>
              <w:spacing w:after="0" w:line="240" w:lineRule="auto"/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</w:pPr>
            <w:r w:rsidRPr="00D264F9">
              <w:rPr>
                <w:rFonts w:ascii="Helvetica" w:eastAsia="Helvetica" w:hAnsi="Helvetica" w:cs="Helvetica"/>
                <w:color w:val="676A6C"/>
                <w:sz w:val="19"/>
                <w:szCs w:val="19"/>
                <w:shd w:val="clear" w:color="auto" w:fill="F9F9F9"/>
              </w:rPr>
              <w:t>the 4.0 Era in Digital Technology Sector</w:t>
            </w:r>
          </w:p>
        </w:tc>
        <w:tc>
          <w:tcPr>
            <w:tcW w:w="6879" w:type="dxa"/>
          </w:tcPr>
          <w:p w14:paraId="0DD54C20" w14:textId="77988EBC" w:rsidR="00D264F9" w:rsidRPr="00D264F9" w:rsidRDefault="00D264F9">
            <w:pPr>
              <w:spacing w:after="0" w:line="240" w:lineRule="auto"/>
              <w:jc w:val="both"/>
              <w:rPr>
                <w:rFonts w:ascii="SimSun" w:eastAsia="SimSun" w:hAnsi="SimSun" w:cs="SimSun"/>
                <w:sz w:val="20"/>
                <w:szCs w:val="20"/>
              </w:rPr>
            </w:pPr>
            <w:hyperlink r:id="rId8" w:history="1">
              <w:r w:rsidRPr="00D264F9">
                <w:rPr>
                  <w:rStyle w:val="Hyperlink"/>
                  <w:rFonts w:ascii="SimSun" w:eastAsia="SimSun" w:hAnsi="SimSun" w:cs="SimSun"/>
                  <w:sz w:val="20"/>
                  <w:szCs w:val="20"/>
                </w:rPr>
                <w:t>https://academicjournal.yarsi.ac.id/ojs3/index.php/jamer/article/view/207</w:t>
              </w:r>
            </w:hyperlink>
          </w:p>
          <w:p w14:paraId="46431D21" w14:textId="101EEF76" w:rsidR="00D264F9" w:rsidRPr="00D264F9" w:rsidRDefault="00D264F9">
            <w:pPr>
              <w:spacing w:after="0" w:line="240" w:lineRule="auto"/>
              <w:jc w:val="both"/>
              <w:rPr>
                <w:rFonts w:ascii="SimSun" w:eastAsia="SimSun" w:hAnsi="SimSun" w:cs="SimSun"/>
              </w:rPr>
            </w:pPr>
          </w:p>
        </w:tc>
      </w:tr>
    </w:tbl>
    <w:p w14:paraId="73FD9DFE" w14:textId="77777777" w:rsidR="00F15B73" w:rsidRDefault="00F15B73">
      <w:bookmarkStart w:id="0" w:name="_GoBack"/>
      <w:bookmarkEnd w:id="0"/>
    </w:p>
    <w:sectPr w:rsidR="00F15B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09405" w14:textId="77777777" w:rsidR="00331B27" w:rsidRDefault="00331B27">
      <w:pPr>
        <w:spacing w:line="240" w:lineRule="auto"/>
      </w:pPr>
      <w:r>
        <w:separator/>
      </w:r>
    </w:p>
  </w:endnote>
  <w:endnote w:type="continuationSeparator" w:id="0">
    <w:p w14:paraId="531E7F5B" w14:textId="77777777" w:rsidR="00331B27" w:rsidRDefault="00331B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78A55" w14:textId="77777777" w:rsidR="00331B27" w:rsidRDefault="00331B27">
      <w:pPr>
        <w:spacing w:after="0"/>
      </w:pPr>
      <w:r>
        <w:separator/>
      </w:r>
    </w:p>
  </w:footnote>
  <w:footnote w:type="continuationSeparator" w:id="0">
    <w:p w14:paraId="4E8395B8" w14:textId="77777777" w:rsidR="00331B27" w:rsidRDefault="00331B2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6A7"/>
    <w:rsid w:val="000529D3"/>
    <w:rsid w:val="0028182F"/>
    <w:rsid w:val="00331B27"/>
    <w:rsid w:val="0035068E"/>
    <w:rsid w:val="00757114"/>
    <w:rsid w:val="00767116"/>
    <w:rsid w:val="008026A7"/>
    <w:rsid w:val="008E06D7"/>
    <w:rsid w:val="00903694"/>
    <w:rsid w:val="009342E3"/>
    <w:rsid w:val="009741E5"/>
    <w:rsid w:val="00AE22B0"/>
    <w:rsid w:val="00B62DE7"/>
    <w:rsid w:val="00BC329B"/>
    <w:rsid w:val="00CC01ED"/>
    <w:rsid w:val="00D264F9"/>
    <w:rsid w:val="00D64344"/>
    <w:rsid w:val="00E0149F"/>
    <w:rsid w:val="00EB4278"/>
    <w:rsid w:val="00F01190"/>
    <w:rsid w:val="00F0228B"/>
    <w:rsid w:val="00F15B73"/>
    <w:rsid w:val="00F20D78"/>
    <w:rsid w:val="518750A2"/>
    <w:rsid w:val="5E33230E"/>
    <w:rsid w:val="5F25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48263"/>
  <w15:docId w15:val="{66D07F9D-927C-4CAD-91CA-37B382A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26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cjournal.yarsi.ac.id/ojs3/index.php/jamer/article/view/2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journal.stei.ac.id/index.php/JAM/article/view/164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nscientific.com/journal/index.php/tpf/article/view/23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2026-04-22T07:36:00Z</cp:lastPrinted>
  <dcterms:created xsi:type="dcterms:W3CDTF">2026-08-05T08:04:00Z</dcterms:created>
  <dcterms:modified xsi:type="dcterms:W3CDTF">2026-08-05T08:04:00Z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1C9C1F32AF70441B9867EE91BB3E2B0C_13</vt:lpwstr>
  </property>
  <property fmtid="{D5CDD505-2E9C-101B-9397-08002B2CF9AE}" pid="4" name="KSOTemplateDocerSaveRecord">
    <vt:lpwstr>eyJoZGlkIjoiMjhmOTA0MzQwNmJlNmMxNzFhY2FiMzYwNzczMjVmMGIifQ==</vt:lpwstr>
  </property>
  <property fmtid="{D5CDD505-2E9C-101B-9397-08002B2CF9AE}" pid="5" name="_DocHome">
    <vt:i4>-260351525</vt:i4>
  </property>
</Properties>
</file>